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246DF" w14:textId="77777777" w:rsidR="00EF3A4D" w:rsidRDefault="00D457ED" w:rsidP="00EF3A4D">
      <w:pPr>
        <w:rPr>
          <w:rFonts w:ascii="Cambria" w:hAnsi="Cambria"/>
          <w:b/>
          <w:bCs/>
          <w:sz w:val="36"/>
          <w:szCs w:val="36"/>
        </w:rPr>
      </w:pPr>
      <w:r>
        <w:rPr>
          <w:rFonts w:ascii="Cambria" w:hAnsi="Cambria"/>
          <w:b/>
          <w:bCs/>
          <w:i/>
          <w:iCs/>
          <w:noProof/>
        </w:rPr>
        <w:drawing>
          <wp:inline distT="0" distB="0" distL="0" distR="0" wp14:anchorId="7DC3CD8A" wp14:editId="5BB1223D">
            <wp:extent cx="1647825" cy="140889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8">
                      <a:extLst>
                        <a:ext uri="{28A0092B-C50C-407E-A947-70E740481C1C}">
                          <a14:useLocalDpi xmlns:a14="http://schemas.microsoft.com/office/drawing/2010/main" val="0"/>
                        </a:ext>
                      </a:extLst>
                    </a:blip>
                    <a:stretch>
                      <a:fillRect/>
                    </a:stretch>
                  </pic:blipFill>
                  <pic:spPr>
                    <a:xfrm>
                      <a:off x="0" y="0"/>
                      <a:ext cx="1658778" cy="1418256"/>
                    </a:xfrm>
                    <a:prstGeom prst="rect">
                      <a:avLst/>
                    </a:prstGeom>
                  </pic:spPr>
                </pic:pic>
              </a:graphicData>
            </a:graphic>
          </wp:inline>
        </w:drawing>
      </w:r>
      <w:r w:rsidRPr="00EF3A4D">
        <w:rPr>
          <w:rFonts w:ascii="Cambria" w:hAnsi="Cambria"/>
          <w:b/>
          <w:bCs/>
          <w:sz w:val="36"/>
          <w:szCs w:val="36"/>
        </w:rPr>
        <w:t>Green River Gold Corp.</w:t>
      </w:r>
    </w:p>
    <w:p w14:paraId="50859913" w14:textId="77777777" w:rsidR="00EF3A4D" w:rsidRPr="00EF3A4D" w:rsidRDefault="00D457ED" w:rsidP="00D66F61">
      <w:pPr>
        <w:spacing w:after="0"/>
        <w:rPr>
          <w:rFonts w:ascii="Cambria" w:hAnsi="Cambria"/>
          <w:b/>
          <w:bCs/>
          <w:i/>
          <w:iCs/>
          <w:sz w:val="24"/>
          <w:szCs w:val="24"/>
        </w:rPr>
      </w:pPr>
      <w:r w:rsidRPr="00EF3A4D">
        <w:rPr>
          <w:rFonts w:ascii="Cambria" w:hAnsi="Cambria"/>
          <w:b/>
          <w:bCs/>
          <w:i/>
          <w:iCs/>
          <w:sz w:val="24"/>
          <w:szCs w:val="24"/>
        </w:rPr>
        <w:t>News Release</w:t>
      </w:r>
    </w:p>
    <w:p w14:paraId="304E535B" w14:textId="77777777" w:rsidR="00EF3A4D" w:rsidRPr="00EF3A4D" w:rsidRDefault="00D457ED" w:rsidP="00D66F61">
      <w:pPr>
        <w:spacing w:after="0"/>
        <w:rPr>
          <w:rFonts w:ascii="Cambria" w:hAnsi="Cambria"/>
          <w:b/>
          <w:bCs/>
          <w:i/>
          <w:iCs/>
          <w:sz w:val="24"/>
          <w:szCs w:val="24"/>
        </w:rPr>
      </w:pPr>
      <w:r w:rsidRPr="00EF3A4D">
        <w:rPr>
          <w:rFonts w:ascii="Cambria" w:hAnsi="Cambria"/>
          <w:b/>
          <w:bCs/>
          <w:i/>
          <w:iCs/>
          <w:sz w:val="24"/>
          <w:szCs w:val="24"/>
        </w:rPr>
        <w:t>CSE: CCR</w:t>
      </w:r>
    </w:p>
    <w:p w14:paraId="47E0A1A6" w14:textId="77777777" w:rsidR="00EF3A4D" w:rsidRDefault="00D457ED" w:rsidP="00D66F61">
      <w:pPr>
        <w:spacing w:after="0"/>
        <w:rPr>
          <w:rFonts w:ascii="Cambria" w:hAnsi="Cambria"/>
          <w:b/>
          <w:bCs/>
          <w:i/>
          <w:iCs/>
          <w:sz w:val="24"/>
          <w:szCs w:val="24"/>
        </w:rPr>
      </w:pPr>
      <w:r>
        <w:rPr>
          <w:rFonts w:ascii="Cambria" w:hAnsi="Cambria"/>
          <w:b/>
          <w:bCs/>
          <w:i/>
          <w:iCs/>
          <w:sz w:val="24"/>
          <w:szCs w:val="24"/>
        </w:rPr>
        <w:t>April 2</w:t>
      </w:r>
      <w:r>
        <w:rPr>
          <w:rFonts w:ascii="Cambria" w:hAnsi="Cambria"/>
          <w:b/>
          <w:bCs/>
          <w:i/>
          <w:iCs/>
          <w:sz w:val="24"/>
          <w:szCs w:val="24"/>
        </w:rPr>
        <w:t>6</w:t>
      </w:r>
      <w:r>
        <w:rPr>
          <w:rFonts w:ascii="Cambria" w:hAnsi="Cambria"/>
          <w:b/>
          <w:bCs/>
          <w:i/>
          <w:iCs/>
          <w:sz w:val="24"/>
          <w:szCs w:val="24"/>
        </w:rPr>
        <w:t>, 2021</w:t>
      </w:r>
    </w:p>
    <w:p w14:paraId="0FA6441C" w14:textId="77777777" w:rsidR="00EF3A4D" w:rsidRDefault="00D457ED" w:rsidP="00EF3A4D">
      <w:pPr>
        <w:rPr>
          <w:rFonts w:ascii="Cambria" w:hAnsi="Cambria"/>
          <w:b/>
          <w:bCs/>
          <w:i/>
          <w:iCs/>
          <w:sz w:val="24"/>
          <w:szCs w:val="24"/>
        </w:rPr>
      </w:pPr>
    </w:p>
    <w:p w14:paraId="788FA1BD" w14:textId="77777777" w:rsidR="00EF3A4D" w:rsidRPr="007B1342" w:rsidRDefault="00D457ED" w:rsidP="00934B9E">
      <w:pPr>
        <w:jc w:val="both"/>
        <w:rPr>
          <w:rFonts w:ascii="Cambria" w:hAnsi="Cambria"/>
        </w:rPr>
      </w:pPr>
      <w:r w:rsidRPr="007B1342">
        <w:rPr>
          <w:rFonts w:ascii="Cambria" w:hAnsi="Cambria"/>
          <w:b/>
          <w:bCs/>
          <w:i/>
          <w:iCs/>
        </w:rPr>
        <w:t xml:space="preserve">GREEN RIVER GOLD CORP. </w:t>
      </w:r>
      <w:r>
        <w:rPr>
          <w:rFonts w:ascii="Cambria" w:hAnsi="Cambria"/>
          <w:b/>
          <w:bCs/>
          <w:i/>
          <w:iCs/>
        </w:rPr>
        <w:t>OPTIONS THE QUESNEL NICKEL PROJECT TO SURGE BATTERY METALS</w:t>
      </w:r>
      <w:r>
        <w:rPr>
          <w:rFonts w:ascii="Cambria" w:hAnsi="Cambria"/>
          <w:b/>
          <w:bCs/>
          <w:i/>
          <w:iCs/>
        </w:rPr>
        <w:t xml:space="preserve"> INC.</w:t>
      </w:r>
    </w:p>
    <w:p w14:paraId="393CB903" w14:textId="77777777" w:rsidR="00805404" w:rsidRDefault="00D457ED" w:rsidP="00934B9E">
      <w:pPr>
        <w:jc w:val="both"/>
        <w:rPr>
          <w:rFonts w:ascii="Cambria" w:hAnsi="Cambria"/>
        </w:rPr>
      </w:pPr>
      <w:r w:rsidRPr="006E5DC5">
        <w:rPr>
          <w:rFonts w:ascii="Cambria" w:hAnsi="Cambria"/>
        </w:rPr>
        <w:t xml:space="preserve">EDMONTON, ALBERTA – Green </w:t>
      </w:r>
      <w:r w:rsidRPr="007D272B">
        <w:rPr>
          <w:rFonts w:ascii="Cambria" w:hAnsi="Cambria"/>
        </w:rPr>
        <w:t>River Gold Corp</w:t>
      </w:r>
      <w:r w:rsidRPr="007D272B">
        <w:rPr>
          <w:rFonts w:ascii="Cambria" w:hAnsi="Cambria"/>
        </w:rPr>
        <w:t xml:space="preserve">. </w:t>
      </w:r>
      <w:r w:rsidRPr="007D272B">
        <w:rPr>
          <w:rFonts w:ascii="Cambria" w:hAnsi="Cambria"/>
        </w:rPr>
        <w:t>(</w:t>
      </w:r>
      <w:r w:rsidRPr="007D272B">
        <w:rPr>
          <w:rFonts w:ascii="Cambria" w:hAnsi="Cambria"/>
        </w:rPr>
        <w:t>“</w:t>
      </w:r>
      <w:r w:rsidRPr="00ED3A9B">
        <w:rPr>
          <w:rFonts w:ascii="Cambria" w:hAnsi="Cambria"/>
          <w:b/>
        </w:rPr>
        <w:t>Green River</w:t>
      </w:r>
      <w:r w:rsidRPr="007D272B">
        <w:rPr>
          <w:rFonts w:ascii="Cambria" w:hAnsi="Cambria"/>
        </w:rPr>
        <w:t>”</w:t>
      </w:r>
      <w:r w:rsidRPr="007D272B">
        <w:rPr>
          <w:rFonts w:ascii="Cambria" w:hAnsi="Cambria"/>
        </w:rPr>
        <w:t xml:space="preserve"> or the “</w:t>
      </w:r>
      <w:r w:rsidRPr="00ED3A9B">
        <w:rPr>
          <w:rFonts w:ascii="Cambria" w:hAnsi="Cambria"/>
          <w:b/>
        </w:rPr>
        <w:t>Company</w:t>
      </w:r>
      <w:r w:rsidRPr="007D272B">
        <w:rPr>
          <w:rFonts w:ascii="Cambria" w:hAnsi="Cambria"/>
        </w:rPr>
        <w:t>”</w:t>
      </w:r>
      <w:r w:rsidRPr="007D272B">
        <w:rPr>
          <w:rFonts w:ascii="Cambria" w:hAnsi="Cambria"/>
        </w:rPr>
        <w:t xml:space="preserve">) is pleased to announce </w:t>
      </w:r>
      <w:r w:rsidRPr="007D272B">
        <w:rPr>
          <w:rFonts w:ascii="Cambria" w:hAnsi="Cambria"/>
        </w:rPr>
        <w:t xml:space="preserve">it has </w:t>
      </w:r>
      <w:r w:rsidRPr="007D272B">
        <w:rPr>
          <w:rFonts w:ascii="Cambria" w:hAnsi="Cambria"/>
        </w:rPr>
        <w:t xml:space="preserve">entered into </w:t>
      </w:r>
      <w:r w:rsidRPr="007D272B">
        <w:rPr>
          <w:rFonts w:ascii="Cambria" w:hAnsi="Cambria"/>
        </w:rPr>
        <w:t xml:space="preserve">an Option Agreement with Surge Battery Metals </w:t>
      </w:r>
      <w:r w:rsidRPr="007D272B">
        <w:rPr>
          <w:rFonts w:ascii="Cambria" w:hAnsi="Cambria"/>
        </w:rPr>
        <w:t>Inc. (“</w:t>
      </w:r>
      <w:r w:rsidRPr="00ED3A9B">
        <w:rPr>
          <w:rFonts w:ascii="Cambria" w:hAnsi="Cambria"/>
          <w:b/>
        </w:rPr>
        <w:t>Surge</w:t>
      </w:r>
      <w:r w:rsidRPr="007D272B">
        <w:rPr>
          <w:rFonts w:ascii="Cambria" w:hAnsi="Cambria"/>
        </w:rPr>
        <w:t xml:space="preserve">”) </w:t>
      </w:r>
      <w:r w:rsidRPr="007D272B">
        <w:rPr>
          <w:rFonts w:ascii="Cambria" w:hAnsi="Cambria"/>
        </w:rPr>
        <w:t>(TSX</w:t>
      </w:r>
      <w:r w:rsidRPr="007D272B">
        <w:rPr>
          <w:rFonts w:ascii="Cambria" w:hAnsi="Cambria"/>
        </w:rPr>
        <w:t>V</w:t>
      </w:r>
      <w:r w:rsidRPr="007D272B">
        <w:rPr>
          <w:rFonts w:ascii="Cambria" w:hAnsi="Cambria"/>
        </w:rPr>
        <w:t xml:space="preserve">: NILI, OTC: </w:t>
      </w:r>
      <w:r w:rsidRPr="007D272B">
        <w:rPr>
          <w:rFonts w:ascii="Cambria" w:eastAsia="Times New Roman" w:hAnsi="Cambria"/>
        </w:rPr>
        <w:t>NILIF</w:t>
      </w:r>
      <w:r w:rsidRPr="007D272B">
        <w:rPr>
          <w:rFonts w:ascii="Cambria" w:hAnsi="Cambria"/>
        </w:rPr>
        <w:t xml:space="preserve">, FRA: DJ5C) </w:t>
      </w:r>
      <w:r w:rsidRPr="007D272B">
        <w:rPr>
          <w:rFonts w:ascii="Cambria" w:hAnsi="Cambria"/>
        </w:rPr>
        <w:t>whereby Green River granted to Surge the right and option, subject to the terms of the Op</w:t>
      </w:r>
      <w:r w:rsidRPr="007D272B">
        <w:rPr>
          <w:rFonts w:ascii="Cambria" w:hAnsi="Cambria"/>
        </w:rPr>
        <w:t xml:space="preserve">tion </w:t>
      </w:r>
      <w:r w:rsidRPr="007D272B">
        <w:rPr>
          <w:rFonts w:ascii="Cambria" w:hAnsi="Cambria"/>
        </w:rPr>
        <w:t>Agreement, to acquir</w:t>
      </w:r>
      <w:r w:rsidRPr="007D272B">
        <w:rPr>
          <w:rFonts w:ascii="Cambria" w:hAnsi="Cambria"/>
        </w:rPr>
        <w:t>e (the “</w:t>
      </w:r>
      <w:r w:rsidRPr="00ED3A9B">
        <w:rPr>
          <w:rFonts w:ascii="Cambria" w:hAnsi="Cambria"/>
          <w:b/>
        </w:rPr>
        <w:t>Option</w:t>
      </w:r>
      <w:r w:rsidRPr="007D272B">
        <w:rPr>
          <w:rFonts w:ascii="Cambria" w:hAnsi="Cambria"/>
        </w:rPr>
        <w:t xml:space="preserve">”) </w:t>
      </w:r>
      <w:r w:rsidRPr="007D272B">
        <w:rPr>
          <w:rFonts w:ascii="Cambria" w:hAnsi="Cambria"/>
        </w:rPr>
        <w:t>an</w:t>
      </w:r>
      <w:r w:rsidRPr="007D272B">
        <w:rPr>
          <w:rFonts w:ascii="Cambria" w:hAnsi="Cambria"/>
        </w:rPr>
        <w:t xml:space="preserve"> </w:t>
      </w:r>
      <w:r w:rsidRPr="007D272B">
        <w:rPr>
          <w:rFonts w:ascii="Cambria" w:hAnsi="Cambria"/>
        </w:rPr>
        <w:t xml:space="preserve"> undivided</w:t>
      </w:r>
      <w:r w:rsidRPr="007D272B">
        <w:rPr>
          <w:rFonts w:ascii="Cambria" w:hAnsi="Cambria"/>
        </w:rPr>
        <w:t xml:space="preserve"> </w:t>
      </w:r>
      <w:r w:rsidRPr="007D272B">
        <w:rPr>
          <w:rFonts w:ascii="Cambria" w:hAnsi="Cambria"/>
        </w:rPr>
        <w:t>80% interest</w:t>
      </w:r>
      <w:r w:rsidRPr="007D272B">
        <w:rPr>
          <w:rFonts w:ascii="Cambria" w:hAnsi="Cambria"/>
        </w:rPr>
        <w:t xml:space="preserve"> </w:t>
      </w:r>
      <w:r w:rsidRPr="007D272B">
        <w:rPr>
          <w:rFonts w:ascii="Cambria" w:hAnsi="Cambria"/>
        </w:rPr>
        <w:t xml:space="preserve">in a </w:t>
      </w:r>
      <w:r w:rsidRPr="007D272B">
        <w:rPr>
          <w:rFonts w:ascii="Cambria" w:hAnsi="Cambria"/>
        </w:rPr>
        <w:t>conti</w:t>
      </w:r>
      <w:r w:rsidRPr="007D272B">
        <w:rPr>
          <w:rFonts w:ascii="Cambria" w:hAnsi="Cambria"/>
        </w:rPr>
        <w:t>g</w:t>
      </w:r>
      <w:r w:rsidRPr="007D272B">
        <w:rPr>
          <w:rFonts w:ascii="Cambria" w:hAnsi="Cambria"/>
        </w:rPr>
        <w:t>uous</w:t>
      </w:r>
      <w:r w:rsidRPr="007D272B">
        <w:rPr>
          <w:rFonts w:ascii="Cambria" w:hAnsi="Cambria"/>
        </w:rPr>
        <w:t xml:space="preserve"> block of 8 mineral claims comprising 2,219.34 hectar</w:t>
      </w:r>
      <w:r w:rsidRPr="007D272B">
        <w:rPr>
          <w:rFonts w:ascii="Cambria" w:hAnsi="Cambria"/>
        </w:rPr>
        <w:t>es</w:t>
      </w:r>
      <w:r w:rsidRPr="007D272B">
        <w:rPr>
          <w:rFonts w:ascii="Cambria" w:hAnsi="Cambria"/>
        </w:rPr>
        <w:t xml:space="preserve"> (the </w:t>
      </w:r>
      <w:r>
        <w:rPr>
          <w:rFonts w:ascii="Cambria" w:hAnsi="Cambria"/>
        </w:rPr>
        <w:t>“</w:t>
      </w:r>
      <w:r w:rsidRPr="00ED3A9B">
        <w:rPr>
          <w:rFonts w:ascii="Cambria" w:hAnsi="Cambria"/>
          <w:b/>
        </w:rPr>
        <w:t>Property</w:t>
      </w:r>
      <w:r w:rsidRPr="007D272B">
        <w:rPr>
          <w:rFonts w:ascii="Cambria" w:hAnsi="Cambria"/>
        </w:rPr>
        <w:t>”).</w:t>
      </w:r>
      <w:r w:rsidRPr="007D272B">
        <w:rPr>
          <w:rFonts w:ascii="Cambria" w:hAnsi="Cambria"/>
        </w:rPr>
        <w:t xml:space="preserve"> </w:t>
      </w:r>
      <w:r w:rsidRPr="007D272B">
        <w:rPr>
          <w:rFonts w:ascii="Cambria" w:hAnsi="Cambria"/>
        </w:rPr>
        <w:t>The optioned mineral claims</w:t>
      </w:r>
      <w:r w:rsidRPr="009075DF">
        <w:rPr>
          <w:rFonts w:ascii="Cambria" w:hAnsi="Cambria"/>
        </w:rPr>
        <w:t xml:space="preserve"> represent less than 25% of </w:t>
      </w:r>
      <w:r w:rsidRPr="009075DF">
        <w:rPr>
          <w:rFonts w:ascii="Cambria" w:hAnsi="Cambria"/>
        </w:rPr>
        <w:t xml:space="preserve">Green </w:t>
      </w:r>
      <w:r>
        <w:rPr>
          <w:rFonts w:ascii="Cambria" w:hAnsi="Cambria"/>
        </w:rPr>
        <w:t>River</w:t>
      </w:r>
      <w:r>
        <w:rPr>
          <w:rFonts w:ascii="Cambria" w:hAnsi="Cambria"/>
        </w:rPr>
        <w:t>’</w:t>
      </w:r>
      <w:r>
        <w:rPr>
          <w:rFonts w:ascii="Cambria" w:hAnsi="Cambria"/>
        </w:rPr>
        <w:t xml:space="preserve">s </w:t>
      </w:r>
      <w:r>
        <w:rPr>
          <w:rFonts w:ascii="Cambria" w:hAnsi="Cambria"/>
        </w:rPr>
        <w:t>8</w:t>
      </w:r>
      <w:r>
        <w:rPr>
          <w:rFonts w:ascii="Cambria" w:hAnsi="Cambria"/>
        </w:rPr>
        <w:t>,</w:t>
      </w:r>
      <w:r>
        <w:rPr>
          <w:rFonts w:ascii="Cambria" w:hAnsi="Cambria"/>
        </w:rPr>
        <w:t xml:space="preserve">937.94 </w:t>
      </w:r>
      <w:r>
        <w:rPr>
          <w:rFonts w:ascii="Cambria" w:hAnsi="Cambria"/>
        </w:rPr>
        <w:t xml:space="preserve">hectare </w:t>
      </w:r>
      <w:r>
        <w:rPr>
          <w:rFonts w:ascii="Cambria" w:hAnsi="Cambria"/>
        </w:rPr>
        <w:t xml:space="preserve">Fontaine project which it acquired in 2019. </w:t>
      </w:r>
      <w:bookmarkStart w:id="0" w:name="_Hlk69680383"/>
    </w:p>
    <w:bookmarkEnd w:id="0"/>
    <w:p w14:paraId="69926A8D" w14:textId="77777777" w:rsidR="003E2629" w:rsidRPr="003E2629" w:rsidRDefault="00D457ED" w:rsidP="003E2629">
      <w:pPr>
        <w:jc w:val="both"/>
        <w:rPr>
          <w:rFonts w:ascii="Cambria" w:hAnsi="Cambria"/>
        </w:rPr>
      </w:pPr>
      <w:r>
        <w:rPr>
          <w:rFonts w:ascii="Cambria" w:hAnsi="Cambria"/>
        </w:rPr>
        <w:t>The Fontaine Project is located 45 km east of the city of Quesnel in central interior British Columbia</w:t>
      </w:r>
      <w:r>
        <w:rPr>
          <w:rFonts w:ascii="Cambria" w:hAnsi="Cambria"/>
        </w:rPr>
        <w:t xml:space="preserve">.  The project is accessible year-round by </w:t>
      </w:r>
      <w:r>
        <w:rPr>
          <w:rFonts w:ascii="Cambria" w:hAnsi="Cambria"/>
        </w:rPr>
        <w:t>P</w:t>
      </w:r>
      <w:r>
        <w:rPr>
          <w:rFonts w:ascii="Cambria" w:hAnsi="Cambria"/>
        </w:rPr>
        <w:t xml:space="preserve">rovincial </w:t>
      </w:r>
      <w:r>
        <w:rPr>
          <w:rFonts w:ascii="Cambria" w:hAnsi="Cambria"/>
        </w:rPr>
        <w:t>H</w:t>
      </w:r>
      <w:r>
        <w:rPr>
          <w:rFonts w:ascii="Cambria" w:hAnsi="Cambria"/>
        </w:rPr>
        <w:t>ighway</w:t>
      </w:r>
      <w:r>
        <w:rPr>
          <w:rFonts w:ascii="Cambria" w:hAnsi="Cambria"/>
        </w:rPr>
        <w:t xml:space="preserve"> 26 and various well-maintained forestry roads. </w:t>
      </w:r>
      <w:r>
        <w:rPr>
          <w:rFonts w:ascii="Cambria" w:hAnsi="Cambria"/>
        </w:rPr>
        <w:t xml:space="preserve">The project borders </w:t>
      </w:r>
      <w:hyperlink r:id="rId9" w:history="1">
        <w:proofErr w:type="spellStart"/>
        <w:r w:rsidRPr="00C62C59">
          <w:rPr>
            <w:rStyle w:val="Hyperlink"/>
            <w:rFonts w:ascii="Cambria" w:hAnsi="Cambria"/>
          </w:rPr>
          <w:t>Osisko’s</w:t>
        </w:r>
        <w:proofErr w:type="spellEnd"/>
        <w:r w:rsidRPr="00C62C59">
          <w:rPr>
            <w:rStyle w:val="Hyperlink"/>
            <w:rFonts w:ascii="Cambria" w:hAnsi="Cambria"/>
          </w:rPr>
          <w:t xml:space="preserve"> Cariboo Gold Project,</w:t>
        </w:r>
      </w:hyperlink>
      <w:r>
        <w:rPr>
          <w:rFonts w:ascii="Cambria" w:hAnsi="Cambria"/>
        </w:rPr>
        <w:t xml:space="preserve"> with indicated</w:t>
      </w:r>
      <w:r w:rsidRPr="003E2629">
        <w:rPr>
          <w:rFonts w:ascii="Cambria" w:hAnsi="Cambria"/>
        </w:rPr>
        <w:t xml:space="preserve"> resources of 3.2 Moz Au (21.4 million tonnes grading 4.64 g/t Au)</w:t>
      </w:r>
      <w:r>
        <w:rPr>
          <w:rFonts w:ascii="Cambria" w:hAnsi="Cambria"/>
        </w:rPr>
        <w:t xml:space="preserve"> a</w:t>
      </w:r>
      <w:r>
        <w:rPr>
          <w:rFonts w:ascii="Cambria" w:hAnsi="Cambria"/>
        </w:rPr>
        <w:t>nd i</w:t>
      </w:r>
      <w:r w:rsidRPr="003E2629">
        <w:rPr>
          <w:rFonts w:ascii="Cambria" w:hAnsi="Cambria"/>
        </w:rPr>
        <w:t>nferred resources of 2.72 Moz of Gold (21.7 million tonnes grading 3.91 g/t Au)</w:t>
      </w:r>
      <w:r>
        <w:t>.</w:t>
      </w:r>
    </w:p>
    <w:p w14:paraId="310E817C" w14:textId="77777777" w:rsidR="003A2BA8" w:rsidRDefault="00D457ED" w:rsidP="003E2629">
      <w:pPr>
        <w:jc w:val="center"/>
        <w:rPr>
          <w:rFonts w:ascii="Cambria" w:hAnsi="Cambria"/>
        </w:rPr>
      </w:pPr>
      <w:r>
        <w:rPr>
          <w:noProof/>
        </w:rPr>
        <w:lastRenderedPageBreak/>
        <w:drawing>
          <wp:inline distT="0" distB="0" distL="0" distR="0" wp14:anchorId="357B68C9" wp14:editId="5A6FACB4">
            <wp:extent cx="5172075" cy="329167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194330" cy="3305835"/>
                    </a:xfrm>
                    <a:prstGeom prst="rect">
                      <a:avLst/>
                    </a:prstGeom>
                    <a:noFill/>
                    <a:ln>
                      <a:noFill/>
                    </a:ln>
                  </pic:spPr>
                </pic:pic>
              </a:graphicData>
            </a:graphic>
          </wp:inline>
        </w:drawing>
      </w:r>
    </w:p>
    <w:p w14:paraId="148A38DB" w14:textId="77777777" w:rsidR="00372C87" w:rsidRDefault="00D457ED" w:rsidP="00372C87">
      <w:pPr>
        <w:autoSpaceDE w:val="0"/>
        <w:autoSpaceDN w:val="0"/>
        <w:adjustRightInd w:val="0"/>
        <w:spacing w:after="0" w:line="240" w:lineRule="auto"/>
        <w:jc w:val="both"/>
        <w:rPr>
          <w:rFonts w:ascii="Cambria" w:eastAsia="Calibri" w:hAnsi="Cambria" w:cs="Times New Roman"/>
          <w:b/>
          <w:bCs/>
        </w:rPr>
      </w:pPr>
      <w:r w:rsidRPr="006563B4">
        <w:rPr>
          <w:rFonts w:ascii="Cambria" w:eastAsia="Calibri" w:hAnsi="Cambria" w:cs="Times New Roman"/>
          <w:b/>
          <w:bCs/>
        </w:rPr>
        <w:t>Terms of the Option</w:t>
      </w:r>
      <w:r>
        <w:rPr>
          <w:rFonts w:ascii="Cambria" w:eastAsia="Calibri" w:hAnsi="Cambria" w:cs="Times New Roman"/>
          <w:b/>
          <w:bCs/>
        </w:rPr>
        <w:t xml:space="preserve"> </w:t>
      </w:r>
      <w:r>
        <w:rPr>
          <w:rFonts w:ascii="Cambria" w:eastAsia="Calibri" w:hAnsi="Cambria" w:cs="Times New Roman"/>
          <w:b/>
          <w:bCs/>
        </w:rPr>
        <w:t>Agreement</w:t>
      </w:r>
    </w:p>
    <w:p w14:paraId="15B3F5FD" w14:textId="77777777" w:rsidR="00372C87" w:rsidRPr="006563B4" w:rsidRDefault="00D457ED" w:rsidP="00372C87">
      <w:pPr>
        <w:autoSpaceDE w:val="0"/>
        <w:autoSpaceDN w:val="0"/>
        <w:adjustRightInd w:val="0"/>
        <w:spacing w:after="0" w:line="240" w:lineRule="auto"/>
        <w:jc w:val="both"/>
        <w:rPr>
          <w:rFonts w:ascii="Cambria" w:eastAsia="Calibri" w:hAnsi="Cambria" w:cs="Times New Roman"/>
        </w:rPr>
      </w:pPr>
    </w:p>
    <w:p w14:paraId="33F0A8E0" w14:textId="77777777" w:rsidR="00372C87" w:rsidRPr="006563B4" w:rsidRDefault="00D457ED" w:rsidP="00ED3A9B">
      <w:pPr>
        <w:autoSpaceDE w:val="0"/>
        <w:autoSpaceDN w:val="0"/>
        <w:adjustRightInd w:val="0"/>
        <w:spacing w:after="0" w:line="240" w:lineRule="auto"/>
        <w:jc w:val="both"/>
        <w:rPr>
          <w:rFonts w:ascii="Cambria" w:eastAsia="Calibri" w:hAnsi="Cambria" w:cs="Times New Roman"/>
        </w:rPr>
      </w:pPr>
      <w:r>
        <w:rPr>
          <w:rFonts w:ascii="Cambria" w:eastAsia="Calibri" w:hAnsi="Cambria" w:cs="Times New Roman"/>
        </w:rPr>
        <w:t xml:space="preserve">The Option shall vest upon </w:t>
      </w:r>
      <w:r>
        <w:rPr>
          <w:rFonts w:ascii="Cambria" w:eastAsia="Calibri" w:hAnsi="Cambria" w:cs="Times New Roman"/>
        </w:rPr>
        <w:t xml:space="preserve">all </w:t>
      </w:r>
      <w:r>
        <w:rPr>
          <w:rFonts w:ascii="Cambria" w:eastAsia="Calibri" w:hAnsi="Cambria" w:cs="Times New Roman"/>
        </w:rPr>
        <w:t xml:space="preserve">the requirements set out below being satisfied.   </w:t>
      </w:r>
      <w:r w:rsidRPr="006563B4">
        <w:rPr>
          <w:rFonts w:ascii="Cambria" w:eastAsia="Calibri" w:hAnsi="Cambria" w:cs="Times New Roman"/>
        </w:rPr>
        <w:t xml:space="preserve">To exercise the Option, </w:t>
      </w:r>
      <w:r>
        <w:rPr>
          <w:rFonts w:ascii="Cambria" w:eastAsia="Calibri" w:hAnsi="Cambria" w:cs="Times New Roman"/>
        </w:rPr>
        <w:t>Surge</w:t>
      </w:r>
      <w:r w:rsidRPr="006563B4">
        <w:rPr>
          <w:rFonts w:ascii="Cambria" w:eastAsia="Calibri" w:hAnsi="Cambria" w:cs="Times New Roman"/>
        </w:rPr>
        <w:t xml:space="preserve"> must issue </w:t>
      </w:r>
      <w:r>
        <w:rPr>
          <w:rFonts w:ascii="Cambria" w:eastAsia="Calibri" w:hAnsi="Cambria" w:cs="Times New Roman"/>
        </w:rPr>
        <w:t xml:space="preserve">common </w:t>
      </w:r>
      <w:r w:rsidRPr="006563B4">
        <w:rPr>
          <w:rFonts w:ascii="Cambria" w:eastAsia="Calibri" w:hAnsi="Cambria" w:cs="Times New Roman"/>
        </w:rPr>
        <w:t xml:space="preserve">shares </w:t>
      </w:r>
      <w:r>
        <w:rPr>
          <w:rFonts w:ascii="Cambria" w:eastAsia="Calibri" w:hAnsi="Cambria" w:cs="Times New Roman"/>
        </w:rPr>
        <w:t>(“</w:t>
      </w:r>
      <w:r w:rsidRPr="00ED3A9B">
        <w:rPr>
          <w:rFonts w:ascii="Cambria" w:eastAsia="Calibri" w:hAnsi="Cambria" w:cs="Times New Roman"/>
          <w:b/>
        </w:rPr>
        <w:t>Shares</w:t>
      </w:r>
      <w:r>
        <w:rPr>
          <w:rFonts w:ascii="Cambria" w:eastAsia="Calibri" w:hAnsi="Cambria" w:cs="Times New Roman"/>
        </w:rPr>
        <w:t xml:space="preserve">”) </w:t>
      </w:r>
      <w:r w:rsidRPr="006563B4">
        <w:rPr>
          <w:rFonts w:ascii="Cambria" w:eastAsia="Calibri" w:hAnsi="Cambria" w:cs="Times New Roman"/>
        </w:rPr>
        <w:t>to</w:t>
      </w:r>
      <w:r>
        <w:rPr>
          <w:rFonts w:ascii="Cambria" w:eastAsia="Calibri" w:hAnsi="Cambria" w:cs="Times New Roman"/>
        </w:rPr>
        <w:t xml:space="preserve"> </w:t>
      </w:r>
      <w:r>
        <w:rPr>
          <w:rFonts w:ascii="Cambria" w:eastAsia="Calibri" w:hAnsi="Cambria" w:cs="Times New Roman"/>
        </w:rPr>
        <w:t>Green River</w:t>
      </w:r>
      <w:r w:rsidRPr="006563B4">
        <w:rPr>
          <w:rFonts w:ascii="Cambria" w:eastAsia="Calibri" w:hAnsi="Cambria" w:cs="Times New Roman"/>
        </w:rPr>
        <w:t>, in the aggregate sums shown in the following table:</w:t>
      </w:r>
    </w:p>
    <w:p w14:paraId="328B7B88" w14:textId="77777777" w:rsidR="00372C87" w:rsidRPr="006563B4" w:rsidRDefault="00D457ED" w:rsidP="00372C87">
      <w:pPr>
        <w:autoSpaceDE w:val="0"/>
        <w:autoSpaceDN w:val="0"/>
        <w:adjustRightInd w:val="0"/>
        <w:spacing w:after="0" w:line="240" w:lineRule="auto"/>
        <w:jc w:val="both"/>
        <w:rPr>
          <w:rFonts w:ascii="Cambria" w:eastAsia="Calibri" w:hAnsi="Cambria" w:cs="Times New Roma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2340"/>
      </w:tblGrid>
      <w:tr w:rsidR="00D82A45" w14:paraId="3D553A2F" w14:textId="77777777" w:rsidTr="0069031C">
        <w:trPr>
          <w:tblHeader/>
        </w:trPr>
        <w:tc>
          <w:tcPr>
            <w:tcW w:w="3071" w:type="dxa"/>
            <w:shd w:val="clear" w:color="auto" w:fill="E6E6E6"/>
          </w:tcPr>
          <w:p w14:paraId="2C0EE84C" w14:textId="77777777" w:rsidR="00372C87" w:rsidRPr="006563B4" w:rsidRDefault="00D457ED" w:rsidP="0069031C">
            <w:pPr>
              <w:autoSpaceDE w:val="0"/>
              <w:autoSpaceDN w:val="0"/>
              <w:adjustRightInd w:val="0"/>
              <w:spacing w:after="0" w:line="240" w:lineRule="auto"/>
              <w:jc w:val="both"/>
              <w:rPr>
                <w:rFonts w:ascii="Cambria" w:eastAsia="Calibri" w:hAnsi="Cambria" w:cs="Times New Roman"/>
                <w:b/>
              </w:rPr>
            </w:pPr>
            <w:r w:rsidRPr="006563B4">
              <w:rPr>
                <w:rFonts w:ascii="Cambria" w:eastAsia="Calibri" w:hAnsi="Cambria" w:cs="Times New Roman"/>
                <w:b/>
              </w:rPr>
              <w:t>Date</w:t>
            </w:r>
          </w:p>
        </w:tc>
        <w:tc>
          <w:tcPr>
            <w:tcW w:w="2340" w:type="dxa"/>
            <w:shd w:val="clear" w:color="auto" w:fill="E6E6E6"/>
          </w:tcPr>
          <w:p w14:paraId="52F287EC" w14:textId="77777777" w:rsidR="00372C87" w:rsidRPr="006563B4" w:rsidRDefault="00D457ED" w:rsidP="0069031C">
            <w:pPr>
              <w:autoSpaceDE w:val="0"/>
              <w:autoSpaceDN w:val="0"/>
              <w:adjustRightInd w:val="0"/>
              <w:spacing w:after="0" w:line="240" w:lineRule="auto"/>
              <w:jc w:val="both"/>
              <w:rPr>
                <w:rFonts w:ascii="Cambria" w:eastAsia="Calibri" w:hAnsi="Cambria" w:cs="Times New Roman"/>
                <w:b/>
              </w:rPr>
            </w:pPr>
            <w:r w:rsidRPr="006563B4">
              <w:rPr>
                <w:rFonts w:ascii="Cambria" w:eastAsia="Calibri" w:hAnsi="Cambria" w:cs="Times New Roman"/>
                <w:b/>
              </w:rPr>
              <w:t>Shares to be Issued</w:t>
            </w:r>
          </w:p>
        </w:tc>
      </w:tr>
      <w:tr w:rsidR="00D82A45" w14:paraId="76A049C2" w14:textId="77777777" w:rsidTr="0069031C">
        <w:tc>
          <w:tcPr>
            <w:tcW w:w="3071" w:type="dxa"/>
          </w:tcPr>
          <w:p w14:paraId="09A5E190" w14:textId="77777777" w:rsidR="00372C87" w:rsidRPr="006563B4" w:rsidRDefault="00D457ED">
            <w:pPr>
              <w:autoSpaceDE w:val="0"/>
              <w:autoSpaceDN w:val="0"/>
              <w:adjustRightInd w:val="0"/>
              <w:spacing w:after="0" w:line="240" w:lineRule="auto"/>
              <w:jc w:val="both"/>
              <w:rPr>
                <w:rFonts w:ascii="Cambria" w:eastAsia="Calibri" w:hAnsi="Cambria" w:cs="Times New Roman"/>
              </w:rPr>
            </w:pPr>
            <w:r w:rsidRPr="006563B4">
              <w:rPr>
                <w:rFonts w:ascii="Cambria" w:eastAsia="Calibri" w:hAnsi="Cambria" w:cs="Times New Roman"/>
              </w:rPr>
              <w:t xml:space="preserve">Upon signing the </w:t>
            </w:r>
            <w:r>
              <w:rPr>
                <w:rFonts w:ascii="Cambria" w:eastAsia="Calibri" w:hAnsi="Cambria" w:cs="Times New Roman"/>
              </w:rPr>
              <w:t xml:space="preserve">Option Agreement </w:t>
            </w:r>
          </w:p>
        </w:tc>
        <w:tc>
          <w:tcPr>
            <w:tcW w:w="2340" w:type="dxa"/>
          </w:tcPr>
          <w:p w14:paraId="3BCB058A" w14:textId="77777777" w:rsidR="00372C87" w:rsidRPr="006563B4" w:rsidRDefault="00D457ED" w:rsidP="0069031C">
            <w:pPr>
              <w:autoSpaceDE w:val="0"/>
              <w:autoSpaceDN w:val="0"/>
              <w:adjustRightInd w:val="0"/>
              <w:spacing w:after="0" w:line="240" w:lineRule="auto"/>
              <w:jc w:val="both"/>
              <w:rPr>
                <w:rFonts w:ascii="Cambria" w:eastAsia="Calibri" w:hAnsi="Cambria" w:cs="Times New Roman"/>
              </w:rPr>
            </w:pPr>
            <w:r w:rsidRPr="006563B4">
              <w:rPr>
                <w:rFonts w:ascii="Cambria" w:eastAsia="Calibri" w:hAnsi="Cambria" w:cs="Times New Roman"/>
              </w:rPr>
              <w:t>500,000</w:t>
            </w:r>
          </w:p>
        </w:tc>
      </w:tr>
      <w:tr w:rsidR="00D82A45" w14:paraId="508BC73F" w14:textId="77777777" w:rsidTr="0069031C">
        <w:tc>
          <w:tcPr>
            <w:tcW w:w="3071" w:type="dxa"/>
          </w:tcPr>
          <w:p w14:paraId="7E3A9461" w14:textId="77777777" w:rsidR="00372C87" w:rsidRPr="006563B4" w:rsidRDefault="00D457ED" w:rsidP="0069031C">
            <w:pPr>
              <w:autoSpaceDE w:val="0"/>
              <w:autoSpaceDN w:val="0"/>
              <w:adjustRightInd w:val="0"/>
              <w:spacing w:after="0" w:line="240" w:lineRule="auto"/>
              <w:jc w:val="both"/>
              <w:rPr>
                <w:rFonts w:ascii="Cambria" w:eastAsia="Calibri" w:hAnsi="Cambria" w:cs="Times New Roman"/>
              </w:rPr>
            </w:pPr>
            <w:r w:rsidRPr="006563B4">
              <w:rPr>
                <w:rFonts w:ascii="Cambria" w:eastAsia="Calibri" w:hAnsi="Cambria" w:cs="Times New Roman"/>
              </w:rPr>
              <w:t>1st Anniversary date of the effective date</w:t>
            </w:r>
          </w:p>
        </w:tc>
        <w:tc>
          <w:tcPr>
            <w:tcW w:w="2340" w:type="dxa"/>
          </w:tcPr>
          <w:p w14:paraId="285B45A6" w14:textId="77777777" w:rsidR="00372C87" w:rsidRPr="006563B4" w:rsidRDefault="00D457ED" w:rsidP="0069031C">
            <w:pPr>
              <w:autoSpaceDE w:val="0"/>
              <w:autoSpaceDN w:val="0"/>
              <w:adjustRightInd w:val="0"/>
              <w:spacing w:after="0" w:line="240" w:lineRule="auto"/>
              <w:jc w:val="both"/>
              <w:rPr>
                <w:rFonts w:ascii="Cambria" w:eastAsia="Calibri" w:hAnsi="Cambria" w:cs="Times New Roman"/>
              </w:rPr>
            </w:pPr>
            <w:r w:rsidRPr="006563B4">
              <w:rPr>
                <w:rFonts w:ascii="Cambria" w:eastAsia="Calibri" w:hAnsi="Cambria" w:cs="Times New Roman"/>
              </w:rPr>
              <w:t>150,000</w:t>
            </w:r>
          </w:p>
        </w:tc>
      </w:tr>
      <w:tr w:rsidR="00D82A45" w14:paraId="1F9BD0C8" w14:textId="77777777" w:rsidTr="0069031C">
        <w:tc>
          <w:tcPr>
            <w:tcW w:w="3071" w:type="dxa"/>
          </w:tcPr>
          <w:p w14:paraId="1D67A2D7" w14:textId="77777777" w:rsidR="00372C87" w:rsidRPr="006563B4" w:rsidRDefault="00D457ED" w:rsidP="0069031C">
            <w:pPr>
              <w:autoSpaceDE w:val="0"/>
              <w:autoSpaceDN w:val="0"/>
              <w:adjustRightInd w:val="0"/>
              <w:spacing w:after="0" w:line="240" w:lineRule="auto"/>
              <w:jc w:val="both"/>
              <w:rPr>
                <w:rFonts w:ascii="Cambria" w:eastAsia="Calibri" w:hAnsi="Cambria" w:cs="Times New Roman"/>
              </w:rPr>
            </w:pPr>
            <w:r w:rsidRPr="006563B4">
              <w:rPr>
                <w:rFonts w:ascii="Cambria" w:eastAsia="Calibri" w:hAnsi="Cambria" w:cs="Times New Roman"/>
              </w:rPr>
              <w:t xml:space="preserve">2nd Anniversary date of the effective date </w:t>
            </w:r>
          </w:p>
        </w:tc>
        <w:tc>
          <w:tcPr>
            <w:tcW w:w="2340" w:type="dxa"/>
          </w:tcPr>
          <w:p w14:paraId="2BDEDB9D" w14:textId="77777777" w:rsidR="00372C87" w:rsidRPr="006563B4" w:rsidRDefault="00D457ED" w:rsidP="0069031C">
            <w:pPr>
              <w:autoSpaceDE w:val="0"/>
              <w:autoSpaceDN w:val="0"/>
              <w:adjustRightInd w:val="0"/>
              <w:spacing w:after="0" w:line="240" w:lineRule="auto"/>
              <w:jc w:val="both"/>
              <w:rPr>
                <w:rFonts w:ascii="Cambria" w:eastAsia="Calibri" w:hAnsi="Cambria" w:cs="Times New Roman"/>
              </w:rPr>
            </w:pPr>
            <w:r w:rsidRPr="006563B4">
              <w:rPr>
                <w:rFonts w:ascii="Cambria" w:eastAsia="Calibri" w:hAnsi="Cambria" w:cs="Times New Roman"/>
              </w:rPr>
              <w:t>200,000</w:t>
            </w:r>
          </w:p>
        </w:tc>
      </w:tr>
      <w:tr w:rsidR="00D82A45" w14:paraId="2489E6D4" w14:textId="77777777" w:rsidTr="0069031C">
        <w:tc>
          <w:tcPr>
            <w:tcW w:w="3071" w:type="dxa"/>
          </w:tcPr>
          <w:p w14:paraId="37A54BB8" w14:textId="77777777" w:rsidR="00372C87" w:rsidRPr="006563B4" w:rsidRDefault="00D457ED" w:rsidP="0069031C">
            <w:pPr>
              <w:autoSpaceDE w:val="0"/>
              <w:autoSpaceDN w:val="0"/>
              <w:adjustRightInd w:val="0"/>
              <w:spacing w:after="0" w:line="240" w:lineRule="auto"/>
              <w:jc w:val="both"/>
              <w:rPr>
                <w:rFonts w:ascii="Cambria" w:eastAsia="Calibri" w:hAnsi="Cambria" w:cs="Times New Roman"/>
              </w:rPr>
            </w:pPr>
            <w:r w:rsidRPr="006563B4">
              <w:rPr>
                <w:rFonts w:ascii="Cambria" w:eastAsia="Calibri" w:hAnsi="Cambria" w:cs="Times New Roman"/>
              </w:rPr>
              <w:t xml:space="preserve">3rd Anniversary date of the effective date </w:t>
            </w:r>
          </w:p>
        </w:tc>
        <w:tc>
          <w:tcPr>
            <w:tcW w:w="2340" w:type="dxa"/>
          </w:tcPr>
          <w:p w14:paraId="5B569B1F" w14:textId="77777777" w:rsidR="00372C87" w:rsidRPr="006563B4" w:rsidRDefault="00D457ED" w:rsidP="0069031C">
            <w:pPr>
              <w:autoSpaceDE w:val="0"/>
              <w:autoSpaceDN w:val="0"/>
              <w:adjustRightInd w:val="0"/>
              <w:spacing w:after="0" w:line="240" w:lineRule="auto"/>
              <w:jc w:val="both"/>
              <w:rPr>
                <w:rFonts w:ascii="Cambria" w:eastAsia="Calibri" w:hAnsi="Cambria" w:cs="Times New Roman"/>
              </w:rPr>
            </w:pPr>
            <w:r w:rsidRPr="006563B4">
              <w:rPr>
                <w:rFonts w:ascii="Cambria" w:eastAsia="Calibri" w:hAnsi="Cambria" w:cs="Times New Roman"/>
              </w:rPr>
              <w:t>250,000</w:t>
            </w:r>
          </w:p>
        </w:tc>
      </w:tr>
      <w:tr w:rsidR="00D82A45" w14:paraId="0DAFF506" w14:textId="77777777" w:rsidTr="0069031C">
        <w:trPr>
          <w:trHeight w:val="332"/>
        </w:trPr>
        <w:tc>
          <w:tcPr>
            <w:tcW w:w="3071" w:type="dxa"/>
          </w:tcPr>
          <w:p w14:paraId="59692270" w14:textId="77777777" w:rsidR="00372C87" w:rsidRPr="006563B4" w:rsidRDefault="00D457ED" w:rsidP="0069031C">
            <w:pPr>
              <w:autoSpaceDE w:val="0"/>
              <w:autoSpaceDN w:val="0"/>
              <w:adjustRightInd w:val="0"/>
              <w:spacing w:after="0" w:line="240" w:lineRule="auto"/>
              <w:jc w:val="both"/>
              <w:rPr>
                <w:rFonts w:ascii="Cambria" w:eastAsia="Calibri" w:hAnsi="Cambria" w:cs="Times New Roman"/>
              </w:rPr>
            </w:pPr>
            <w:r w:rsidRPr="006563B4">
              <w:rPr>
                <w:rFonts w:ascii="Cambria" w:eastAsia="Calibri" w:hAnsi="Cambria" w:cs="Times New Roman"/>
              </w:rPr>
              <w:t xml:space="preserve">4th Anniversary date of the effective date </w:t>
            </w:r>
          </w:p>
        </w:tc>
        <w:tc>
          <w:tcPr>
            <w:tcW w:w="2340" w:type="dxa"/>
          </w:tcPr>
          <w:p w14:paraId="315B1135" w14:textId="77777777" w:rsidR="00372C87" w:rsidRPr="006563B4" w:rsidRDefault="00D457ED" w:rsidP="0069031C">
            <w:pPr>
              <w:autoSpaceDE w:val="0"/>
              <w:autoSpaceDN w:val="0"/>
              <w:adjustRightInd w:val="0"/>
              <w:spacing w:after="0" w:line="240" w:lineRule="auto"/>
              <w:jc w:val="both"/>
              <w:rPr>
                <w:rFonts w:ascii="Cambria" w:eastAsia="Calibri" w:hAnsi="Cambria" w:cs="Times New Roman"/>
              </w:rPr>
            </w:pPr>
            <w:r w:rsidRPr="006563B4">
              <w:rPr>
                <w:rFonts w:ascii="Cambria" w:eastAsia="Calibri" w:hAnsi="Cambria" w:cs="Times New Roman"/>
              </w:rPr>
              <w:t>300,000</w:t>
            </w:r>
          </w:p>
        </w:tc>
      </w:tr>
    </w:tbl>
    <w:p w14:paraId="3257A7B2" w14:textId="77777777" w:rsidR="00372C87" w:rsidRPr="006563B4" w:rsidRDefault="00D457ED" w:rsidP="00372C87">
      <w:pPr>
        <w:autoSpaceDE w:val="0"/>
        <w:autoSpaceDN w:val="0"/>
        <w:adjustRightInd w:val="0"/>
        <w:spacing w:after="0" w:line="240" w:lineRule="auto"/>
        <w:jc w:val="both"/>
        <w:rPr>
          <w:rFonts w:ascii="Cambria" w:eastAsia="Calibri" w:hAnsi="Cambria" w:cs="Times New Roman"/>
        </w:rPr>
      </w:pPr>
    </w:p>
    <w:p w14:paraId="67C91A33" w14:textId="77777777" w:rsidR="00372C87" w:rsidRDefault="00D457ED" w:rsidP="00372C87">
      <w:pPr>
        <w:autoSpaceDE w:val="0"/>
        <w:autoSpaceDN w:val="0"/>
        <w:adjustRightInd w:val="0"/>
        <w:spacing w:after="0" w:line="240" w:lineRule="auto"/>
        <w:jc w:val="both"/>
        <w:rPr>
          <w:rFonts w:ascii="Cambria" w:eastAsia="Calibri" w:hAnsi="Cambria" w:cs="Times New Roman"/>
        </w:rPr>
      </w:pPr>
      <w:r w:rsidRPr="006563B4">
        <w:rPr>
          <w:rFonts w:ascii="Cambria" w:eastAsia="Calibri" w:hAnsi="Cambria" w:cs="Times New Roman"/>
        </w:rPr>
        <w:t xml:space="preserve">In addition to the issuance of </w:t>
      </w:r>
      <w:r>
        <w:rPr>
          <w:rFonts w:ascii="Cambria" w:eastAsia="Calibri" w:hAnsi="Cambria" w:cs="Times New Roman"/>
        </w:rPr>
        <w:t>S</w:t>
      </w:r>
      <w:r w:rsidRPr="006563B4">
        <w:rPr>
          <w:rFonts w:ascii="Cambria" w:eastAsia="Calibri" w:hAnsi="Cambria" w:cs="Times New Roman"/>
        </w:rPr>
        <w:t xml:space="preserve">hares as described, </w:t>
      </w:r>
      <w:r>
        <w:rPr>
          <w:rFonts w:ascii="Cambria" w:eastAsia="Calibri" w:hAnsi="Cambria" w:cs="Times New Roman"/>
        </w:rPr>
        <w:t>Surge</w:t>
      </w:r>
      <w:r w:rsidRPr="006563B4">
        <w:rPr>
          <w:rFonts w:ascii="Cambria" w:eastAsia="Calibri" w:hAnsi="Cambria" w:cs="Times New Roman"/>
        </w:rPr>
        <w:t xml:space="preserve"> must incur no less than $800,000 in </w:t>
      </w:r>
      <w:r>
        <w:rPr>
          <w:rFonts w:ascii="Cambria" w:eastAsia="Calibri" w:hAnsi="Cambria" w:cs="Times New Roman"/>
        </w:rPr>
        <w:t>m</w:t>
      </w:r>
      <w:r w:rsidRPr="006563B4">
        <w:rPr>
          <w:rFonts w:ascii="Cambria" w:eastAsia="Calibri" w:hAnsi="Cambria" w:cs="Times New Roman"/>
        </w:rPr>
        <w:t xml:space="preserve">ining </w:t>
      </w:r>
      <w:r>
        <w:rPr>
          <w:rFonts w:ascii="Cambria" w:eastAsia="Calibri" w:hAnsi="Cambria" w:cs="Times New Roman"/>
        </w:rPr>
        <w:t>w</w:t>
      </w:r>
      <w:r w:rsidRPr="006563B4">
        <w:rPr>
          <w:rFonts w:ascii="Cambria" w:eastAsia="Calibri" w:hAnsi="Cambria" w:cs="Times New Roman"/>
        </w:rPr>
        <w:t xml:space="preserve">ork expenditures on the </w:t>
      </w:r>
      <w:r>
        <w:rPr>
          <w:rFonts w:ascii="Cambria" w:eastAsia="Calibri" w:hAnsi="Cambria" w:cs="Times New Roman"/>
        </w:rPr>
        <w:t>P</w:t>
      </w:r>
      <w:r w:rsidRPr="006563B4">
        <w:rPr>
          <w:rFonts w:ascii="Cambria" w:eastAsia="Calibri" w:hAnsi="Cambria" w:cs="Times New Roman"/>
        </w:rPr>
        <w:t>roperty by the end of the 4</w:t>
      </w:r>
      <w:r w:rsidRPr="006563B4">
        <w:rPr>
          <w:rFonts w:ascii="Cambria" w:eastAsia="Calibri" w:hAnsi="Cambria" w:cs="Times New Roman"/>
          <w:vertAlign w:val="superscript"/>
        </w:rPr>
        <w:t>th</w:t>
      </w:r>
      <w:r w:rsidRPr="006563B4">
        <w:rPr>
          <w:rFonts w:ascii="Cambria" w:eastAsia="Calibri" w:hAnsi="Cambria" w:cs="Times New Roman"/>
        </w:rPr>
        <w:t xml:space="preserve"> Anniversary date of the effective date of the Option Agreement. Upon </w:t>
      </w:r>
      <w:r>
        <w:rPr>
          <w:rFonts w:ascii="Cambria" w:eastAsia="Calibri" w:hAnsi="Cambria" w:cs="Times New Roman"/>
        </w:rPr>
        <w:t>Surge</w:t>
      </w:r>
      <w:r w:rsidRPr="006563B4">
        <w:rPr>
          <w:rFonts w:ascii="Cambria" w:eastAsia="Calibri" w:hAnsi="Cambria" w:cs="Times New Roman"/>
        </w:rPr>
        <w:t xml:space="preserve"> exercising its </w:t>
      </w:r>
      <w:r>
        <w:rPr>
          <w:rFonts w:ascii="Cambria" w:eastAsia="Calibri" w:hAnsi="Cambria" w:cs="Times New Roman"/>
        </w:rPr>
        <w:t xml:space="preserve">option to acquire an undivided </w:t>
      </w:r>
      <w:r w:rsidRPr="006563B4">
        <w:rPr>
          <w:rFonts w:ascii="Cambria" w:eastAsia="Calibri" w:hAnsi="Cambria" w:cs="Times New Roman"/>
        </w:rPr>
        <w:t xml:space="preserve">80% interest in the </w:t>
      </w:r>
      <w:r w:rsidRPr="006563B4">
        <w:rPr>
          <w:rFonts w:ascii="Cambria" w:eastAsia="Calibri" w:hAnsi="Cambria" w:cs="Times New Roman"/>
        </w:rPr>
        <w:t>Property</w:t>
      </w:r>
      <w:r>
        <w:rPr>
          <w:rFonts w:ascii="Cambria" w:eastAsia="Calibri" w:hAnsi="Cambria" w:cs="Times New Roman"/>
        </w:rPr>
        <w:t xml:space="preserve"> by performance of all of the requirements set forth </w:t>
      </w:r>
      <w:r>
        <w:rPr>
          <w:rFonts w:ascii="Cambria" w:eastAsia="Calibri" w:hAnsi="Cambria" w:cs="Times New Roman"/>
        </w:rPr>
        <w:t>above</w:t>
      </w:r>
      <w:r>
        <w:rPr>
          <w:rFonts w:ascii="Cambria" w:eastAsia="Calibri" w:hAnsi="Cambria" w:cs="Times New Roman"/>
        </w:rPr>
        <w:t>,</w:t>
      </w:r>
      <w:r w:rsidRPr="006563B4">
        <w:rPr>
          <w:rFonts w:ascii="Cambria" w:eastAsia="Calibri" w:hAnsi="Cambria" w:cs="Times New Roman"/>
        </w:rPr>
        <w:t xml:space="preserve"> a joint venture shall be formed </w:t>
      </w:r>
      <w:r>
        <w:rPr>
          <w:rFonts w:ascii="Cambria" w:eastAsia="Calibri" w:hAnsi="Cambria" w:cs="Times New Roman"/>
        </w:rPr>
        <w:t xml:space="preserve">between </w:t>
      </w:r>
      <w:r>
        <w:rPr>
          <w:rFonts w:ascii="Cambria" w:eastAsia="Calibri" w:hAnsi="Cambria" w:cs="Times New Roman"/>
        </w:rPr>
        <w:t xml:space="preserve">Green River and Surge </w:t>
      </w:r>
      <w:r w:rsidRPr="006563B4">
        <w:rPr>
          <w:rFonts w:ascii="Cambria" w:eastAsia="Calibri" w:hAnsi="Cambria" w:cs="Times New Roman"/>
        </w:rPr>
        <w:t>to contribute their share of future development and production costs.  In the event th</w:t>
      </w:r>
      <w:r>
        <w:rPr>
          <w:rFonts w:ascii="Cambria" w:eastAsia="Calibri" w:hAnsi="Cambria" w:cs="Times New Roman"/>
        </w:rPr>
        <w:t>at Green River</w:t>
      </w:r>
      <w:r w:rsidRPr="006563B4">
        <w:rPr>
          <w:rFonts w:ascii="Cambria" w:eastAsia="Calibri" w:hAnsi="Cambria" w:cs="Times New Roman"/>
        </w:rPr>
        <w:t xml:space="preserve"> does not choose to contri</w:t>
      </w:r>
      <w:r w:rsidRPr="006563B4">
        <w:rPr>
          <w:rFonts w:ascii="Cambria" w:eastAsia="Calibri" w:hAnsi="Cambria" w:cs="Times New Roman"/>
        </w:rPr>
        <w:t>bute their share of future costs</w:t>
      </w:r>
      <w:r>
        <w:rPr>
          <w:rFonts w:ascii="Cambria" w:eastAsia="Calibri" w:hAnsi="Cambria" w:cs="Times New Roman"/>
        </w:rPr>
        <w:t>,</w:t>
      </w:r>
      <w:r w:rsidRPr="006563B4">
        <w:rPr>
          <w:rFonts w:ascii="Cambria" w:eastAsia="Calibri" w:hAnsi="Cambria" w:cs="Times New Roman"/>
        </w:rPr>
        <w:t xml:space="preserve"> then </w:t>
      </w:r>
      <w:r>
        <w:rPr>
          <w:rFonts w:ascii="Cambria" w:eastAsia="Calibri" w:hAnsi="Cambria" w:cs="Times New Roman"/>
        </w:rPr>
        <w:t xml:space="preserve">its </w:t>
      </w:r>
      <w:r w:rsidRPr="006563B4">
        <w:rPr>
          <w:rFonts w:ascii="Cambria" w:eastAsia="Calibri" w:hAnsi="Cambria" w:cs="Times New Roman"/>
        </w:rPr>
        <w:t>20% interest</w:t>
      </w:r>
      <w:r>
        <w:rPr>
          <w:rFonts w:ascii="Cambria" w:eastAsia="Calibri" w:hAnsi="Cambria" w:cs="Times New Roman"/>
        </w:rPr>
        <w:t xml:space="preserve"> in the </w:t>
      </w:r>
      <w:r>
        <w:rPr>
          <w:rFonts w:ascii="Cambria" w:eastAsia="Calibri" w:hAnsi="Cambria" w:cs="Times New Roman"/>
        </w:rPr>
        <w:t xml:space="preserve">Property </w:t>
      </w:r>
      <w:r w:rsidRPr="006563B4">
        <w:rPr>
          <w:rFonts w:ascii="Cambria" w:eastAsia="Calibri" w:hAnsi="Cambria" w:cs="Times New Roman"/>
        </w:rPr>
        <w:t>would convert to a 2%</w:t>
      </w:r>
      <w:r>
        <w:rPr>
          <w:rFonts w:ascii="Cambria" w:eastAsia="Calibri" w:hAnsi="Cambria" w:cs="Times New Roman"/>
        </w:rPr>
        <w:t xml:space="preserve"> Net Smelter Royalty.</w:t>
      </w:r>
    </w:p>
    <w:p w14:paraId="28FEFBC2" w14:textId="77777777" w:rsidR="00D61BC1" w:rsidRPr="00372C87" w:rsidRDefault="00D457ED" w:rsidP="00372C87">
      <w:pPr>
        <w:autoSpaceDE w:val="0"/>
        <w:autoSpaceDN w:val="0"/>
        <w:adjustRightInd w:val="0"/>
        <w:spacing w:after="0" w:line="240" w:lineRule="auto"/>
        <w:jc w:val="both"/>
        <w:rPr>
          <w:rFonts w:ascii="Cambria" w:eastAsia="Calibri" w:hAnsi="Cambria" w:cs="Times New Roman"/>
        </w:rPr>
      </w:pPr>
    </w:p>
    <w:p w14:paraId="590D0429" w14:textId="77777777" w:rsidR="00394DB9" w:rsidRDefault="00D457ED" w:rsidP="00934B9E">
      <w:pPr>
        <w:jc w:val="both"/>
        <w:rPr>
          <w:rFonts w:ascii="Cambria" w:hAnsi="Cambria"/>
        </w:rPr>
      </w:pPr>
      <w:r>
        <w:rPr>
          <w:rFonts w:ascii="Cambria" w:hAnsi="Cambria"/>
        </w:rPr>
        <w:t xml:space="preserve">Green River acquired the Fontaine Project with a focus on its gold potential, </w:t>
      </w:r>
      <w:r>
        <w:rPr>
          <w:rFonts w:ascii="Cambria" w:hAnsi="Cambria"/>
        </w:rPr>
        <w:t xml:space="preserve">however, </w:t>
      </w:r>
      <w:r>
        <w:rPr>
          <w:rFonts w:ascii="Cambria" w:hAnsi="Cambria"/>
        </w:rPr>
        <w:t xml:space="preserve">the Company was </w:t>
      </w:r>
      <w:r>
        <w:rPr>
          <w:rFonts w:ascii="Cambria" w:hAnsi="Cambria"/>
        </w:rPr>
        <w:t xml:space="preserve">also </w:t>
      </w:r>
      <w:r>
        <w:rPr>
          <w:rFonts w:ascii="Cambria" w:hAnsi="Cambria"/>
        </w:rPr>
        <w:t>aware of the potential for other</w:t>
      </w:r>
      <w:r>
        <w:rPr>
          <w:rFonts w:ascii="Cambria" w:hAnsi="Cambria"/>
        </w:rPr>
        <w:t xml:space="preserve"> minerals </w:t>
      </w:r>
      <w:r>
        <w:rPr>
          <w:rFonts w:ascii="Cambria" w:hAnsi="Cambria"/>
        </w:rPr>
        <w:t>as highlighted in the following BC MINFILES</w:t>
      </w:r>
      <w:r>
        <w:rPr>
          <w:rFonts w:ascii="Cambria" w:hAnsi="Cambria"/>
        </w:rPr>
        <w:t>:</w:t>
      </w:r>
    </w:p>
    <w:p w14:paraId="63658C0F" w14:textId="77777777" w:rsidR="00EC2EC0" w:rsidRDefault="00D457ED" w:rsidP="00ED3A9B">
      <w:pPr>
        <w:pStyle w:val="ListParagraph"/>
        <w:numPr>
          <w:ilvl w:val="0"/>
          <w:numId w:val="3"/>
        </w:numPr>
        <w:jc w:val="both"/>
        <w:rPr>
          <w:rFonts w:ascii="Cambria" w:hAnsi="Cambria"/>
        </w:rPr>
      </w:pPr>
      <w:r>
        <w:rPr>
          <w:rFonts w:ascii="Cambria" w:hAnsi="Cambria"/>
        </w:rPr>
        <w:lastRenderedPageBreak/>
        <w:t>093A 013 – Sovereign Creek – developed prospect containing talc and magnesite, and coincident showing containing nickel sulfides.</w:t>
      </w:r>
    </w:p>
    <w:p w14:paraId="49BAFC42" w14:textId="77777777" w:rsidR="00EC2EC0" w:rsidRDefault="00D457ED" w:rsidP="00ED3A9B">
      <w:pPr>
        <w:pStyle w:val="ListParagraph"/>
        <w:numPr>
          <w:ilvl w:val="0"/>
          <w:numId w:val="3"/>
        </w:numPr>
        <w:jc w:val="both"/>
        <w:rPr>
          <w:rFonts w:ascii="Cambria" w:hAnsi="Cambria"/>
        </w:rPr>
      </w:pPr>
      <w:r>
        <w:rPr>
          <w:rFonts w:ascii="Cambria" w:hAnsi="Cambria"/>
        </w:rPr>
        <w:t xml:space="preserve">093A 130 – Sovereign – showings containing talc and nickel </w:t>
      </w:r>
      <w:r>
        <w:rPr>
          <w:rFonts w:ascii="Cambria" w:hAnsi="Cambria"/>
        </w:rPr>
        <w:t>sulfides.</w:t>
      </w:r>
    </w:p>
    <w:p w14:paraId="256C3D87" w14:textId="77777777" w:rsidR="00EC2EC0" w:rsidRDefault="00D457ED" w:rsidP="00ED3A9B">
      <w:pPr>
        <w:pStyle w:val="ListParagraph"/>
        <w:numPr>
          <w:ilvl w:val="0"/>
          <w:numId w:val="3"/>
        </w:numPr>
        <w:jc w:val="both"/>
        <w:rPr>
          <w:rFonts w:ascii="Cambria" w:hAnsi="Cambria"/>
        </w:rPr>
      </w:pPr>
      <w:r>
        <w:rPr>
          <w:rFonts w:ascii="Cambria" w:hAnsi="Cambria"/>
        </w:rPr>
        <w:t>093A 139 – Fontaine Creek – showing containing asbestos.</w:t>
      </w:r>
    </w:p>
    <w:p w14:paraId="44813DCF" w14:textId="77777777" w:rsidR="00210367" w:rsidRDefault="00D457ED" w:rsidP="00ED3A9B">
      <w:pPr>
        <w:pStyle w:val="ListParagraph"/>
        <w:numPr>
          <w:ilvl w:val="0"/>
          <w:numId w:val="3"/>
        </w:numPr>
        <w:jc w:val="both"/>
        <w:rPr>
          <w:rFonts w:ascii="Cambria" w:hAnsi="Cambria"/>
        </w:rPr>
      </w:pPr>
      <w:r>
        <w:rPr>
          <w:rFonts w:ascii="Cambria" w:hAnsi="Cambria"/>
        </w:rPr>
        <w:t>093H 061 – R.T. – showing containing nickel, chromium and cobalt.</w:t>
      </w:r>
    </w:p>
    <w:p w14:paraId="2D2CF8E7" w14:textId="77777777" w:rsidR="00210367" w:rsidRDefault="00D457ED" w:rsidP="00ED3A9B">
      <w:pPr>
        <w:jc w:val="both"/>
        <w:rPr>
          <w:rFonts w:ascii="Cambria" w:hAnsi="Cambria"/>
        </w:rPr>
      </w:pPr>
      <w:r>
        <w:rPr>
          <w:rFonts w:ascii="Cambria" w:hAnsi="Cambria"/>
        </w:rPr>
        <w:t xml:space="preserve">The four BC MINFILE occurrences are based on exploration work documented in 16 BC ARIS and 12 BC Property File reports, as </w:t>
      </w:r>
      <w:r>
        <w:rPr>
          <w:rFonts w:ascii="Cambria" w:hAnsi="Cambria"/>
        </w:rPr>
        <w:t xml:space="preserve">well as various government agency reports and maps. </w:t>
      </w:r>
    </w:p>
    <w:p w14:paraId="3155936E" w14:textId="77777777" w:rsidR="00394DB9" w:rsidRDefault="00D457ED" w:rsidP="00210367">
      <w:pPr>
        <w:jc w:val="both"/>
        <w:rPr>
          <w:rFonts w:ascii="Cambria" w:hAnsi="Cambria"/>
        </w:rPr>
      </w:pPr>
      <w:r>
        <w:rPr>
          <w:rFonts w:ascii="Cambria" w:hAnsi="Cambria"/>
        </w:rPr>
        <w:t>Perry Little, Green River</w:t>
      </w:r>
      <w:r>
        <w:rPr>
          <w:rFonts w:ascii="Cambria" w:hAnsi="Cambria"/>
        </w:rPr>
        <w:t>’s</w:t>
      </w:r>
      <w:r>
        <w:rPr>
          <w:rFonts w:ascii="Cambria" w:hAnsi="Cambria"/>
        </w:rPr>
        <w:t xml:space="preserve"> President and CEO</w:t>
      </w:r>
      <w:r>
        <w:rPr>
          <w:rFonts w:ascii="Cambria" w:hAnsi="Cambria"/>
        </w:rPr>
        <w:t>,</w:t>
      </w:r>
      <w:r>
        <w:rPr>
          <w:rFonts w:ascii="Cambria" w:hAnsi="Cambria"/>
        </w:rPr>
        <w:t xml:space="preserve"> comments</w:t>
      </w:r>
      <w:r>
        <w:rPr>
          <w:rFonts w:ascii="Cambria" w:hAnsi="Cambria"/>
        </w:rPr>
        <w:t>;</w:t>
      </w:r>
      <w:r>
        <w:rPr>
          <w:rFonts w:ascii="Cambria" w:hAnsi="Cambria"/>
        </w:rPr>
        <w:t xml:space="preserve"> “We are pleased to see that we were not alone in recognizing the potential for other minerals at the Fontaine Project.  We look forward to seeing </w:t>
      </w:r>
      <w:r>
        <w:rPr>
          <w:rFonts w:ascii="Cambria" w:hAnsi="Cambria"/>
        </w:rPr>
        <w:t>the results of Surge</w:t>
      </w:r>
      <w:r>
        <w:rPr>
          <w:rFonts w:ascii="Cambria" w:hAnsi="Cambria"/>
        </w:rPr>
        <w:t>’s</w:t>
      </w:r>
      <w:r>
        <w:rPr>
          <w:rFonts w:ascii="Cambria" w:hAnsi="Cambria"/>
        </w:rPr>
        <w:t xml:space="preserve"> exploration and wish them great success.</w:t>
      </w:r>
      <w:r>
        <w:rPr>
          <w:rFonts w:ascii="Cambria" w:hAnsi="Cambria"/>
        </w:rPr>
        <w:t>”</w:t>
      </w:r>
    </w:p>
    <w:p w14:paraId="3B05B0D0" w14:textId="77777777" w:rsidR="006563B4" w:rsidRPr="00372C87" w:rsidRDefault="00D457ED" w:rsidP="00372C87">
      <w:pPr>
        <w:jc w:val="both"/>
        <w:rPr>
          <w:rFonts w:ascii="Cambria" w:hAnsi="Cambria"/>
        </w:rPr>
      </w:pPr>
      <w:r w:rsidRPr="00210367">
        <w:rPr>
          <w:rFonts w:ascii="Cambria" w:hAnsi="Cambria"/>
        </w:rPr>
        <w:t>Kyle Townsend</w:t>
      </w:r>
      <w:r>
        <w:rPr>
          <w:rFonts w:ascii="Cambria" w:hAnsi="Cambria"/>
        </w:rPr>
        <w:t>, Green Ri</w:t>
      </w:r>
      <w:r>
        <w:rPr>
          <w:rFonts w:ascii="Cambria" w:hAnsi="Cambria"/>
        </w:rPr>
        <w:t>ver’s</w:t>
      </w:r>
      <w:r>
        <w:rPr>
          <w:rFonts w:ascii="Cambria" w:hAnsi="Cambria"/>
        </w:rPr>
        <w:t xml:space="preserve"> Mine Manager</w:t>
      </w:r>
      <w:r>
        <w:rPr>
          <w:rFonts w:ascii="Cambria" w:hAnsi="Cambria"/>
        </w:rPr>
        <w:t>,</w:t>
      </w:r>
      <w:r>
        <w:rPr>
          <w:rFonts w:ascii="Cambria" w:hAnsi="Cambria"/>
        </w:rPr>
        <w:t xml:space="preserve"> comments</w:t>
      </w:r>
      <w:r>
        <w:rPr>
          <w:rFonts w:ascii="Cambria" w:hAnsi="Cambria"/>
        </w:rPr>
        <w:t>;</w:t>
      </w:r>
      <w:r w:rsidRPr="00210367">
        <w:rPr>
          <w:rFonts w:ascii="Cambria" w:hAnsi="Cambria"/>
        </w:rPr>
        <w:t xml:space="preserve"> </w:t>
      </w:r>
      <w:r>
        <w:rPr>
          <w:rFonts w:ascii="Cambria" w:hAnsi="Cambria"/>
        </w:rPr>
        <w:t xml:space="preserve">“Our target remains precious metals.  We are pleased to have been approached </w:t>
      </w:r>
      <w:r>
        <w:rPr>
          <w:rFonts w:ascii="Cambria" w:hAnsi="Cambria"/>
        </w:rPr>
        <w:t xml:space="preserve">by </w:t>
      </w:r>
      <w:r>
        <w:rPr>
          <w:rFonts w:ascii="Cambria" w:hAnsi="Cambria"/>
        </w:rPr>
        <w:t>and to have reached an agreement with Surge Battery Metals</w:t>
      </w:r>
      <w:r>
        <w:rPr>
          <w:rFonts w:ascii="Cambria" w:hAnsi="Cambria"/>
        </w:rPr>
        <w:t xml:space="preserve"> Inc. who </w:t>
      </w:r>
      <w:r>
        <w:rPr>
          <w:rFonts w:ascii="Cambria" w:hAnsi="Cambria"/>
        </w:rPr>
        <w:t>has</w:t>
      </w:r>
      <w:r>
        <w:rPr>
          <w:rFonts w:ascii="Cambria" w:hAnsi="Cambria"/>
        </w:rPr>
        <w:t xml:space="preserve"> the technical expertise and background to target the possible nickel alloy mineralization on the property</w:t>
      </w:r>
      <w:bookmarkStart w:id="1" w:name="_Hlk69682174"/>
      <w:r>
        <w:rPr>
          <w:rFonts w:ascii="Cambria" w:hAnsi="Cambria"/>
        </w:rPr>
        <w:t>.</w:t>
      </w:r>
      <w:r>
        <w:rPr>
          <w:rFonts w:ascii="Cambria" w:hAnsi="Cambria"/>
        </w:rPr>
        <w:t>”</w:t>
      </w:r>
    </w:p>
    <w:bookmarkEnd w:id="1"/>
    <w:p w14:paraId="645CEAD6" w14:textId="77777777" w:rsidR="00BD618E" w:rsidRDefault="00D457ED" w:rsidP="00934B9E">
      <w:pPr>
        <w:jc w:val="both"/>
        <w:rPr>
          <w:rFonts w:ascii="Cambria" w:hAnsi="Cambria"/>
        </w:rPr>
      </w:pPr>
      <w:r>
        <w:rPr>
          <w:rFonts w:ascii="Cambria" w:hAnsi="Cambria"/>
        </w:rPr>
        <w:t>The technical data in this new release has been reviewed and approved by Stephen Kocsis, P.Geo</w:t>
      </w:r>
      <w:r>
        <w:rPr>
          <w:rFonts w:ascii="Cambria" w:hAnsi="Cambria"/>
        </w:rPr>
        <w:t>.</w:t>
      </w:r>
      <w:r>
        <w:rPr>
          <w:rFonts w:ascii="Cambria" w:hAnsi="Cambria"/>
        </w:rPr>
        <w:t>,</w:t>
      </w:r>
      <w:r>
        <w:rPr>
          <w:rFonts w:ascii="Cambria" w:hAnsi="Cambria"/>
        </w:rPr>
        <w:t xml:space="preserve"> </w:t>
      </w:r>
      <w:r w:rsidRPr="000363DB">
        <w:rPr>
          <w:rFonts w:ascii="Cambria" w:hAnsi="Cambria"/>
        </w:rPr>
        <w:t>a</w:t>
      </w:r>
      <w:r>
        <w:rPr>
          <w:rFonts w:ascii="Cambria" w:hAnsi="Cambria"/>
        </w:rPr>
        <w:t xml:space="preserve"> </w:t>
      </w:r>
      <w:r w:rsidRPr="000363DB">
        <w:rPr>
          <w:rFonts w:ascii="Cambria" w:hAnsi="Cambria"/>
        </w:rPr>
        <w:t>qualified person for the purpose of</w:t>
      </w:r>
      <w:r w:rsidRPr="000363DB">
        <w:rPr>
          <w:rFonts w:ascii="Cambria" w:hAnsi="Cambria"/>
        </w:rPr>
        <w:t xml:space="preserve"> National Instrument 43-101</w:t>
      </w:r>
      <w:r>
        <w:rPr>
          <w:rFonts w:ascii="Cambria" w:hAnsi="Cambria"/>
        </w:rPr>
        <w:t xml:space="preserve"> </w:t>
      </w:r>
      <w:r>
        <w:rPr>
          <w:rFonts w:ascii="Cambria" w:hAnsi="Cambria"/>
        </w:rPr>
        <w:t>- Standards</w:t>
      </w:r>
      <w:r w:rsidRPr="009C5A52">
        <w:rPr>
          <w:rFonts w:ascii="Cambria" w:hAnsi="Cambria"/>
          <w:i/>
        </w:rPr>
        <w:t xml:space="preserve"> of Disclosure for Mineral Projects</w:t>
      </w:r>
      <w:r w:rsidRPr="000363DB">
        <w:rPr>
          <w:rFonts w:ascii="Cambria" w:hAnsi="Cambria"/>
        </w:rPr>
        <w:t>.</w:t>
      </w:r>
    </w:p>
    <w:p w14:paraId="5BA9F453" w14:textId="77777777" w:rsidR="009D2E67" w:rsidRPr="00045F6C" w:rsidRDefault="00D457ED" w:rsidP="009D2E67">
      <w:pPr>
        <w:rPr>
          <w:rFonts w:ascii="Cambria" w:hAnsi="Cambria"/>
        </w:rPr>
      </w:pPr>
      <w:r>
        <w:rPr>
          <w:rFonts w:ascii="Cambria" w:hAnsi="Cambria"/>
          <w:b/>
          <w:bCs/>
        </w:rPr>
        <w:t>About Green River Gold Corp.</w:t>
      </w:r>
    </w:p>
    <w:p w14:paraId="220EF32A" w14:textId="77777777" w:rsidR="009D2E67" w:rsidRDefault="00D457ED" w:rsidP="009D2E67">
      <w:pPr>
        <w:jc w:val="both"/>
        <w:rPr>
          <w:rFonts w:ascii="Cambria" w:eastAsia="Calibri" w:hAnsi="Cambria" w:cs="Times New Roman"/>
        </w:rPr>
      </w:pPr>
      <w:r w:rsidRPr="00CE4DFF">
        <w:rPr>
          <w:rFonts w:ascii="Cambria" w:eastAsia="Calibri" w:hAnsi="Cambria" w:cs="Times New Roman"/>
        </w:rPr>
        <w:t xml:space="preserve">Green River Gold Corp. acquires and develops placer mining claims and mineral claims.  The Company controls a 100% interest in the flagship Fontaine Gold Project.  The 8,900-hectare Fontaine Gold Project is situated 12 kilometers southwest of Barkerville. </w:t>
      </w:r>
      <w:r w:rsidRPr="00CE4DFF">
        <w:rPr>
          <w:rFonts w:ascii="Cambria" w:eastAsia="Calibri" w:hAnsi="Cambria" w:cs="Times New Roman"/>
        </w:rPr>
        <w:t>The property includes both placer and hard-rock tenures. The properties straddle an 18 km length of the Barkerville and Quesnel Terranes and are contiguous to Osisko Development Corp.’s proposed mine at its Cariboo Gold Project.</w:t>
      </w:r>
      <w:r>
        <w:rPr>
          <w:rFonts w:ascii="Cambria" w:eastAsia="Calibri" w:hAnsi="Cambria" w:cs="Times New Roman"/>
        </w:rPr>
        <w:t xml:space="preserve">   A portion of the Fontaine</w:t>
      </w:r>
      <w:r>
        <w:rPr>
          <w:rFonts w:ascii="Cambria" w:eastAsia="Calibri" w:hAnsi="Cambria" w:cs="Times New Roman"/>
        </w:rPr>
        <w:t xml:space="preserve"> Gold Project mineral claims have been optioned to Surge Battery Metals Inc.</w:t>
      </w:r>
    </w:p>
    <w:p w14:paraId="32935206" w14:textId="77777777" w:rsidR="00781088" w:rsidRPr="00CE4DFF" w:rsidRDefault="00D457ED" w:rsidP="009D2E67">
      <w:pPr>
        <w:jc w:val="both"/>
        <w:rPr>
          <w:rFonts w:ascii="Cambria" w:eastAsia="Calibri" w:hAnsi="Cambria" w:cs="Times New Roman"/>
        </w:rPr>
      </w:pPr>
      <w:r>
        <w:rPr>
          <w:rFonts w:ascii="Cambria" w:eastAsia="Calibri" w:hAnsi="Cambria" w:cs="Times New Roman"/>
        </w:rPr>
        <w:t xml:space="preserve">The Company also controls a 100% interest in the </w:t>
      </w:r>
      <w:r>
        <w:rPr>
          <w:rFonts w:ascii="Cambria" w:eastAsia="Calibri" w:hAnsi="Cambria" w:cs="Times New Roman"/>
        </w:rPr>
        <w:t>1,214.32-hectare</w:t>
      </w:r>
      <w:r>
        <w:rPr>
          <w:rFonts w:ascii="Cambria" w:eastAsia="Calibri" w:hAnsi="Cambria" w:cs="Times New Roman"/>
        </w:rPr>
        <w:t xml:space="preserve"> Kymar Silver Project, located 28 </w:t>
      </w:r>
      <w:r>
        <w:rPr>
          <w:rFonts w:ascii="Cambria" w:eastAsia="Calibri" w:hAnsi="Cambria" w:cs="Times New Roman"/>
        </w:rPr>
        <w:t>kilometers</w:t>
      </w:r>
      <w:r>
        <w:rPr>
          <w:rFonts w:ascii="Cambria" w:eastAsia="Calibri" w:hAnsi="Cambria" w:cs="Times New Roman"/>
        </w:rPr>
        <w:t xml:space="preserve"> West of Invermere, British Columbia.</w:t>
      </w:r>
    </w:p>
    <w:p w14:paraId="58BE79C2" w14:textId="77777777" w:rsidR="009D2E67" w:rsidRPr="00CE4DFF" w:rsidRDefault="00D457ED" w:rsidP="009D2E67">
      <w:pPr>
        <w:jc w:val="both"/>
        <w:rPr>
          <w:rFonts w:ascii="Cambria" w:eastAsia="Calibri" w:hAnsi="Cambria" w:cs="Times New Roman"/>
        </w:rPr>
      </w:pPr>
      <w:r w:rsidRPr="00CE4DFF">
        <w:rPr>
          <w:rFonts w:ascii="Cambria" w:eastAsia="Calibri" w:hAnsi="Cambria" w:cs="Times New Roman"/>
        </w:rPr>
        <w:t>The Company also controls a 100%</w:t>
      </w:r>
      <w:r w:rsidRPr="00CE4DFF">
        <w:rPr>
          <w:rFonts w:ascii="Cambria" w:eastAsia="Calibri" w:hAnsi="Cambria" w:cs="Times New Roman"/>
        </w:rPr>
        <w:t xml:space="preserve"> interest in placer mining projects on the Little Swift River, Sovereign Creek, Willow River, and Swift River</w:t>
      </w:r>
      <w:r>
        <w:rPr>
          <w:rFonts w:ascii="Cambria" w:eastAsia="Calibri" w:hAnsi="Cambria" w:cs="Times New Roman"/>
        </w:rPr>
        <w:t>.</w:t>
      </w:r>
      <w:r>
        <w:rPr>
          <w:rFonts w:ascii="Cambria" w:eastAsia="Calibri" w:hAnsi="Cambria" w:cs="Times New Roman"/>
        </w:rPr>
        <w:t xml:space="preserve"> </w:t>
      </w:r>
      <w:r w:rsidRPr="00CE4DFF">
        <w:rPr>
          <w:rFonts w:ascii="Cambria" w:eastAsia="Calibri" w:hAnsi="Cambria" w:cs="Times New Roman"/>
        </w:rPr>
        <w:t xml:space="preserve">The Company rents placer claims to placer gold miners for cash rent, in lieu of a royalty. </w:t>
      </w:r>
    </w:p>
    <w:p w14:paraId="1E51EF8E" w14:textId="77777777" w:rsidR="009D2E67" w:rsidRPr="00CE4DFF" w:rsidRDefault="00D457ED" w:rsidP="00077E3C">
      <w:pPr>
        <w:jc w:val="both"/>
        <w:rPr>
          <w:rFonts w:ascii="Cambria" w:eastAsia="Calibri" w:hAnsi="Cambria" w:cs="Times New Roman"/>
        </w:rPr>
      </w:pPr>
      <w:r w:rsidRPr="00CE4DFF">
        <w:rPr>
          <w:rFonts w:ascii="Cambria" w:eastAsia="Calibri" w:hAnsi="Cambria" w:cs="Times New Roman"/>
        </w:rPr>
        <w:t>Green River Gold Corp. also distributes equipment and</w:t>
      </w:r>
      <w:r w:rsidRPr="00CE4DFF">
        <w:rPr>
          <w:rFonts w:ascii="Cambria" w:eastAsia="Calibri" w:hAnsi="Cambria" w:cs="Times New Roman"/>
        </w:rPr>
        <w:t xml:space="preserve"> supplies for the placer mining industry</w:t>
      </w:r>
      <w:r>
        <w:rPr>
          <w:rFonts w:ascii="Cambria" w:eastAsia="Calibri" w:hAnsi="Cambria" w:cs="Times New Roman"/>
        </w:rPr>
        <w:t xml:space="preserve"> and is a</w:t>
      </w:r>
      <w:r w:rsidRPr="00D74858">
        <w:rPr>
          <w:rFonts w:ascii="Cambria" w:eastAsia="Calibri" w:hAnsi="Cambria" w:cs="Times New Roman"/>
        </w:rPr>
        <w:t xml:space="preserve"> Limited Partner in the Green River Gold Trading Limited Partnership which </w:t>
      </w:r>
      <w:r w:rsidRPr="00CE4DFF">
        <w:rPr>
          <w:rFonts w:ascii="Cambria" w:eastAsia="Calibri" w:hAnsi="Cambria" w:cs="Times New Roman"/>
        </w:rPr>
        <w:t>purchases raw placer gold</w:t>
      </w:r>
      <w:r>
        <w:rPr>
          <w:rFonts w:ascii="Cambria" w:eastAsia="Calibri" w:hAnsi="Cambria" w:cs="Times New Roman"/>
        </w:rPr>
        <w:t xml:space="preserve"> from miners.  Those operations</w:t>
      </w:r>
      <w:r>
        <w:rPr>
          <w:rFonts w:ascii="Cambria" w:eastAsia="Calibri" w:hAnsi="Cambria" w:cs="Times New Roman"/>
        </w:rPr>
        <w:t>,</w:t>
      </w:r>
      <w:r>
        <w:rPr>
          <w:rFonts w:ascii="Cambria" w:eastAsia="Calibri" w:hAnsi="Cambria" w:cs="Times New Roman"/>
        </w:rPr>
        <w:t xml:space="preserve"> and the mining </w:t>
      </w:r>
      <w:r>
        <w:rPr>
          <w:rFonts w:ascii="Cambria" w:eastAsia="Calibri" w:hAnsi="Cambria" w:cs="Times New Roman"/>
        </w:rPr>
        <w:t xml:space="preserve">operations are based out of a 6,000 square foot office, retail and manufacturing facility in the heart of the Cariboo Mining District </w:t>
      </w:r>
      <w:r>
        <w:rPr>
          <w:rFonts w:ascii="Cambria" w:eastAsia="Calibri" w:hAnsi="Cambria" w:cs="Times New Roman"/>
        </w:rPr>
        <w:t>in Quesnel</w:t>
      </w:r>
      <w:r>
        <w:rPr>
          <w:rFonts w:ascii="Cambria" w:eastAsia="Calibri" w:hAnsi="Cambria" w:cs="Times New Roman"/>
        </w:rPr>
        <w:t>, British Columbia.</w:t>
      </w:r>
    </w:p>
    <w:p w14:paraId="485FD987" w14:textId="77777777" w:rsidR="009D2E67" w:rsidRDefault="00D457ED" w:rsidP="009D2E67">
      <w:pPr>
        <w:rPr>
          <w:rFonts w:ascii="Cambria" w:hAnsi="Cambria"/>
          <w:i/>
          <w:iCs/>
          <w:color w:val="0563C1"/>
        </w:rPr>
      </w:pPr>
      <w:r>
        <w:rPr>
          <w:rFonts w:ascii="Cambria" w:hAnsi="Cambria"/>
          <w:i/>
          <w:iCs/>
        </w:rPr>
        <w:t>Additional information about Green River Gold Corp. can be found by reviewing its profile on</w:t>
      </w:r>
      <w:r>
        <w:rPr>
          <w:rFonts w:ascii="Cambria" w:hAnsi="Cambria"/>
          <w:i/>
          <w:iCs/>
        </w:rPr>
        <w:t xml:space="preserve"> SEDAR at </w:t>
      </w:r>
      <w:r w:rsidRPr="009B5332">
        <w:rPr>
          <w:rStyle w:val="Hyperlink"/>
          <w:rFonts w:ascii="Cambria" w:hAnsi="Cambria"/>
          <w:i/>
          <w:iCs/>
        </w:rPr>
        <w:t>www.sedar.com</w:t>
      </w:r>
      <w:r>
        <w:rPr>
          <w:rStyle w:val="Hyperlink"/>
          <w:rFonts w:ascii="Cambria" w:hAnsi="Cambria"/>
          <w:i/>
          <w:iCs/>
        </w:rPr>
        <w:t>.</w:t>
      </w:r>
    </w:p>
    <w:p w14:paraId="2028D9B3" w14:textId="77777777" w:rsidR="00077E3C" w:rsidRDefault="00D457ED" w:rsidP="009D2E67">
      <w:pPr>
        <w:rPr>
          <w:rFonts w:ascii="Cambria" w:hAnsi="Cambria"/>
          <w:color w:val="0563C1"/>
        </w:rPr>
      </w:pPr>
    </w:p>
    <w:p w14:paraId="5A3470B5" w14:textId="77777777" w:rsidR="00077E3C" w:rsidRDefault="00D457ED" w:rsidP="009D2E67">
      <w:pPr>
        <w:rPr>
          <w:rFonts w:ascii="Cambria" w:hAnsi="Cambria"/>
          <w:color w:val="0563C1"/>
        </w:rPr>
      </w:pPr>
    </w:p>
    <w:p w14:paraId="28D4B0F0" w14:textId="77777777" w:rsidR="009D2E67" w:rsidRPr="00D66F61" w:rsidRDefault="00D457ED" w:rsidP="009D2E67">
      <w:pPr>
        <w:rPr>
          <w:rFonts w:ascii="Cambria" w:hAnsi="Cambria"/>
        </w:rPr>
      </w:pPr>
      <w:r w:rsidRPr="00D66F61">
        <w:rPr>
          <w:rFonts w:ascii="Cambria" w:hAnsi="Cambria"/>
        </w:rPr>
        <w:lastRenderedPageBreak/>
        <w:t>For more information contact:</w:t>
      </w:r>
    </w:p>
    <w:p w14:paraId="0294B139" w14:textId="77777777" w:rsidR="009D2E67" w:rsidRDefault="00D457ED" w:rsidP="009D2E67">
      <w:pPr>
        <w:spacing w:after="0"/>
        <w:rPr>
          <w:rFonts w:ascii="Cambria" w:hAnsi="Cambria"/>
          <w:b/>
          <w:bCs/>
        </w:rPr>
      </w:pPr>
      <w:r>
        <w:rPr>
          <w:rFonts w:ascii="Cambria" w:hAnsi="Cambria"/>
          <w:b/>
          <w:bCs/>
        </w:rPr>
        <w:t>Green River Gold Corp.</w:t>
      </w:r>
    </w:p>
    <w:p w14:paraId="1D5F7681" w14:textId="77777777" w:rsidR="009D2E67" w:rsidRDefault="00D457ED" w:rsidP="009D2E67">
      <w:pPr>
        <w:spacing w:after="0"/>
        <w:rPr>
          <w:rFonts w:ascii="Cambria" w:hAnsi="Cambria"/>
        </w:rPr>
      </w:pPr>
      <w:r>
        <w:rPr>
          <w:rFonts w:ascii="Cambria" w:hAnsi="Cambria"/>
        </w:rPr>
        <w:t>Mr. Perry Little</w:t>
      </w:r>
    </w:p>
    <w:p w14:paraId="7251FF71" w14:textId="77777777" w:rsidR="009D2E67" w:rsidRDefault="00D457ED" w:rsidP="009D2E67">
      <w:pPr>
        <w:spacing w:after="0"/>
        <w:rPr>
          <w:rFonts w:ascii="Cambria" w:hAnsi="Cambria"/>
        </w:rPr>
      </w:pPr>
      <w:r>
        <w:rPr>
          <w:rFonts w:ascii="Cambria" w:hAnsi="Cambria"/>
        </w:rPr>
        <w:t>President and Chief Executive Officer</w:t>
      </w:r>
    </w:p>
    <w:p w14:paraId="4EC174F5" w14:textId="77777777" w:rsidR="009D2E67" w:rsidRDefault="00D457ED" w:rsidP="009D2E67">
      <w:pPr>
        <w:spacing w:after="0"/>
        <w:rPr>
          <w:rFonts w:ascii="Cambria" w:hAnsi="Cambria"/>
        </w:rPr>
      </w:pPr>
      <w:r>
        <w:rPr>
          <w:rFonts w:ascii="Cambria" w:hAnsi="Cambria"/>
        </w:rPr>
        <w:t>780-993-2193</w:t>
      </w:r>
    </w:p>
    <w:p w14:paraId="6EB0ABD9" w14:textId="77777777" w:rsidR="009D2E67" w:rsidRDefault="00D457ED" w:rsidP="009D2E67">
      <w:pPr>
        <w:spacing w:after="0"/>
        <w:rPr>
          <w:rFonts w:ascii="Cambria" w:hAnsi="Cambria"/>
        </w:rPr>
      </w:pPr>
    </w:p>
    <w:p w14:paraId="0ABDA3AA" w14:textId="77777777" w:rsidR="009D2E67" w:rsidRDefault="00D457ED" w:rsidP="00934B9E">
      <w:pPr>
        <w:spacing w:after="0"/>
        <w:jc w:val="both"/>
        <w:rPr>
          <w:rFonts w:ascii="Cambria" w:hAnsi="Cambria"/>
        </w:rPr>
      </w:pPr>
      <w:r>
        <w:rPr>
          <w:rFonts w:ascii="Cambria" w:hAnsi="Cambria"/>
          <w:i/>
          <w:iCs/>
        </w:rPr>
        <w:t xml:space="preserve">Forward Looking Information: This release contains forward-looking information within the meaning of </w:t>
      </w:r>
      <w:r>
        <w:rPr>
          <w:rFonts w:ascii="Cambria" w:hAnsi="Cambria"/>
          <w:i/>
          <w:iCs/>
        </w:rPr>
        <w:t>applicable Canadian securities legislation. Forward-looking information involves known and unknown risks, uncertainties and other factors that may cause actual results or events to differ materially from those expressed or implied by such forward-looking i</w:t>
      </w:r>
      <w:r>
        <w:rPr>
          <w:rFonts w:ascii="Cambria" w:hAnsi="Cambria"/>
          <w:i/>
          <w:iCs/>
        </w:rPr>
        <w:t>nformation. In addition, the forward-looking information contained in this release is based upon what management believes to be reasonable assumption. Readers are cautioned not to place undue reliance on forward-looking information as it is inherently unce</w:t>
      </w:r>
      <w:r>
        <w:rPr>
          <w:rFonts w:ascii="Cambria" w:hAnsi="Cambria"/>
          <w:i/>
          <w:iCs/>
        </w:rPr>
        <w:t>rtain, and no assurance can be given that the expectations reflected in such information will prove to be correct. The forward-looking information in this release is made as of the date hereof and, except as required under applicable securities legislation</w:t>
      </w:r>
      <w:r>
        <w:rPr>
          <w:rFonts w:ascii="Cambria" w:hAnsi="Cambria"/>
          <w:i/>
          <w:iCs/>
        </w:rPr>
        <w:t>, the Company assumes no obligation to update or revise such information to reflect new events or circumstances.</w:t>
      </w:r>
      <w:r>
        <w:rPr>
          <w:rFonts w:ascii="Cambria" w:hAnsi="Cambria"/>
        </w:rPr>
        <w:t xml:space="preserve"> </w:t>
      </w:r>
    </w:p>
    <w:p w14:paraId="283C5FBD" w14:textId="77777777" w:rsidR="009D2E67" w:rsidRDefault="00D457ED" w:rsidP="009D2E67">
      <w:pPr>
        <w:spacing w:after="0"/>
        <w:rPr>
          <w:rFonts w:ascii="Cambria" w:hAnsi="Cambria"/>
        </w:rPr>
      </w:pPr>
    </w:p>
    <w:p w14:paraId="2F31AB3B" w14:textId="77777777" w:rsidR="009D2E67" w:rsidRDefault="00D457ED" w:rsidP="00934B9E">
      <w:pPr>
        <w:spacing w:after="0"/>
        <w:jc w:val="both"/>
        <w:rPr>
          <w:rFonts w:ascii="Cambria" w:hAnsi="Cambria"/>
          <w:i/>
          <w:iCs/>
        </w:rPr>
      </w:pPr>
      <w:r w:rsidRPr="00D66F61">
        <w:rPr>
          <w:rFonts w:ascii="Cambria" w:hAnsi="Cambria"/>
          <w:i/>
          <w:iCs/>
        </w:rPr>
        <w:t xml:space="preserve">The securities of the </w:t>
      </w:r>
      <w:r>
        <w:rPr>
          <w:rFonts w:ascii="Cambria" w:hAnsi="Cambria"/>
          <w:i/>
          <w:iCs/>
        </w:rPr>
        <w:t>C</w:t>
      </w:r>
      <w:r w:rsidRPr="00D66F61">
        <w:rPr>
          <w:rFonts w:ascii="Cambria" w:hAnsi="Cambria"/>
          <w:i/>
          <w:iCs/>
        </w:rPr>
        <w:t xml:space="preserve">ompany </w:t>
      </w:r>
      <w:r>
        <w:rPr>
          <w:rFonts w:ascii="Cambria" w:hAnsi="Cambria"/>
          <w:i/>
          <w:iCs/>
        </w:rPr>
        <w:t xml:space="preserve">have not been registered under the United States Securities Act of 1933, as amended, and may not be offered or </w:t>
      </w:r>
      <w:r>
        <w:rPr>
          <w:rFonts w:ascii="Cambria" w:hAnsi="Cambria"/>
          <w:i/>
          <w:iCs/>
        </w:rPr>
        <w:t>sold in the United States absent registration or an applicable exemption from the registration requirements. This release is issued for informational purposes only and does not constitute an offer to sell or the solicitation of an offer to buy any securiti</w:t>
      </w:r>
      <w:r>
        <w:rPr>
          <w:rFonts w:ascii="Cambria" w:hAnsi="Cambria"/>
          <w:i/>
          <w:iCs/>
        </w:rPr>
        <w:t>es, nor shall there be any sale of any securities in any jurisdiction in which such offer, solicitation or sale would be unlawful.</w:t>
      </w:r>
    </w:p>
    <w:p w14:paraId="1F82BA8C" w14:textId="77777777" w:rsidR="009D2E67" w:rsidRDefault="00D457ED" w:rsidP="009D2E67">
      <w:pPr>
        <w:spacing w:after="0"/>
        <w:rPr>
          <w:rFonts w:ascii="Cambria" w:hAnsi="Cambria"/>
          <w:i/>
          <w:iCs/>
        </w:rPr>
      </w:pPr>
    </w:p>
    <w:p w14:paraId="753B449A" w14:textId="77777777" w:rsidR="00EF3A4D" w:rsidRPr="009D2E67" w:rsidRDefault="00D457ED" w:rsidP="00934B9E">
      <w:pPr>
        <w:spacing w:after="0"/>
        <w:jc w:val="both"/>
        <w:rPr>
          <w:rFonts w:ascii="Cambria" w:hAnsi="Cambria"/>
          <w:i/>
          <w:iCs/>
        </w:rPr>
      </w:pPr>
      <w:r>
        <w:rPr>
          <w:rFonts w:ascii="Cambria" w:hAnsi="Cambria"/>
          <w:i/>
          <w:iCs/>
        </w:rPr>
        <w:t>The Canadian Securities Exchange (operated by CNSX</w:t>
      </w:r>
      <w:r>
        <w:rPr>
          <w:rFonts w:ascii="Cambria" w:hAnsi="Cambria"/>
          <w:i/>
          <w:iCs/>
        </w:rPr>
        <w:t xml:space="preserve"> Markets Inc.) has neither approved nor disapproved of the contents of this press release.</w:t>
      </w:r>
    </w:p>
    <w:sectPr w:rsidR="00EF3A4D" w:rsidRPr="009D2E6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087A8" w14:textId="77777777" w:rsidR="00D457ED" w:rsidRDefault="00D457ED">
      <w:pPr>
        <w:spacing w:after="0" w:line="240" w:lineRule="auto"/>
      </w:pPr>
      <w:r>
        <w:separator/>
      </w:r>
    </w:p>
  </w:endnote>
  <w:endnote w:type="continuationSeparator" w:id="0">
    <w:p w14:paraId="78367713" w14:textId="77777777" w:rsidR="00D457ED" w:rsidRDefault="00D4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6E515" w14:textId="77777777" w:rsidR="00004BE4" w:rsidRDefault="00D457ED">
    <w:pPr>
      <w:pStyle w:val="Footer"/>
    </w:pPr>
    <w:r>
      <w:rPr>
        <w:noProof/>
        <w:sz w:val="20"/>
      </w:rPr>
      <mc:AlternateContent>
        <mc:Choice Requires="wps">
          <w:drawing>
            <wp:anchor distT="0" distB="0" distL="114300" distR="114300" simplePos="0" relativeHeight="251658240" behindDoc="0" locked="1" layoutInCell="0" allowOverlap="1" wp14:anchorId="39E5117D" wp14:editId="23DCA94D">
              <wp:simplePos x="0" y="0"/>
              <wp:positionH relativeFrom="margin">
                <wp:posOffset>0</wp:posOffset>
              </wp:positionH>
              <wp:positionV relativeFrom="paragraph">
                <wp:posOffset>137160</wp:posOffset>
              </wp:positionV>
              <wp:extent cx="5943600" cy="228600"/>
              <wp:effectExtent l="0" t="0" r="0" b="0"/>
              <wp:wrapNone/>
              <wp:docPr id="12" name="DocsID_PF4423657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7ADFC" w14:textId="77777777" w:rsidR="00004BE4" w:rsidRPr="00C55343" w:rsidRDefault="00D457ED">
                          <w:pPr>
                            <w:pStyle w:val="DocsID"/>
                            <w:rPr>
                              <w:color w:val="auto"/>
                            </w:rPr>
                          </w:pPr>
                        </w:p>
                      </w:txbxContent>
                    </wps:txbx>
                    <wps:bodyPr rot="0" vert="horz"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DocsID_PF4423657251" o:spid="_x0000_s2049" type="#_x0000_t202" style="height:18pt;margin-left:0;margin-top:10.8pt;mso-position-horizontal-relative:margin;mso-wrap-distance-bottom:0;mso-wrap-distance-left:9pt;mso-wrap-distance-right:9pt;mso-wrap-distance-top:0;mso-wrap-style:square;position:absolute;v-text-anchor:top;visibility:visible;width:468pt;z-index:251659264" o:allowincell="f" filled="f" stroked="f">
              <v:textbox inset="0,0,0,0">
                <w:txbxContent>
                  <w:p w:rsidR="00004BE4" w:rsidRPr="00C55343">
                    <w:pPr>
                      <w:pStyle w:val="DocsID"/>
                      <w:rPr>
                        <w:color w:val="auto"/>
                      </w:rPr>
                    </w:pPr>
                  </w:p>
                </w:txbxContent>
              </v:textbox>
              <w10:wrap anchorx="margin"/>
              <w10:anchorlock/>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75891" w14:textId="77777777" w:rsidR="00D457ED" w:rsidRDefault="00D457ED">
      <w:pPr>
        <w:spacing w:after="0" w:line="240" w:lineRule="auto"/>
      </w:pPr>
      <w:r>
        <w:separator/>
      </w:r>
    </w:p>
  </w:footnote>
  <w:footnote w:type="continuationSeparator" w:id="0">
    <w:p w14:paraId="19419A02" w14:textId="77777777" w:rsidR="00D457ED" w:rsidRDefault="00D45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32415" w14:textId="77777777" w:rsidR="00004BE4" w:rsidRDefault="00D457E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091A"/>
    <w:multiLevelType w:val="multilevel"/>
    <w:tmpl w:val="DA50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4D7676"/>
    <w:multiLevelType w:val="hybridMultilevel"/>
    <w:tmpl w:val="BD5CE28A"/>
    <w:lvl w:ilvl="0" w:tplc="360CDBE0">
      <w:start w:val="1"/>
      <w:numFmt w:val="decimal"/>
      <w:lvlText w:val="(%1)"/>
      <w:lvlJc w:val="left"/>
      <w:pPr>
        <w:ind w:left="720" w:hanging="360"/>
      </w:pPr>
      <w:rPr>
        <w:rFonts w:hint="default"/>
      </w:rPr>
    </w:lvl>
    <w:lvl w:ilvl="1" w:tplc="A5845020" w:tentative="1">
      <w:start w:val="1"/>
      <w:numFmt w:val="lowerLetter"/>
      <w:lvlText w:val="%2."/>
      <w:lvlJc w:val="left"/>
      <w:pPr>
        <w:ind w:left="1440" w:hanging="360"/>
      </w:pPr>
    </w:lvl>
    <w:lvl w:ilvl="2" w:tplc="744AC97E" w:tentative="1">
      <w:start w:val="1"/>
      <w:numFmt w:val="lowerRoman"/>
      <w:lvlText w:val="%3."/>
      <w:lvlJc w:val="right"/>
      <w:pPr>
        <w:ind w:left="2160" w:hanging="180"/>
      </w:pPr>
    </w:lvl>
    <w:lvl w:ilvl="3" w:tplc="83A86D30" w:tentative="1">
      <w:start w:val="1"/>
      <w:numFmt w:val="decimal"/>
      <w:lvlText w:val="%4."/>
      <w:lvlJc w:val="left"/>
      <w:pPr>
        <w:ind w:left="2880" w:hanging="360"/>
      </w:pPr>
    </w:lvl>
    <w:lvl w:ilvl="4" w:tplc="2376DCBA" w:tentative="1">
      <w:start w:val="1"/>
      <w:numFmt w:val="lowerLetter"/>
      <w:lvlText w:val="%5."/>
      <w:lvlJc w:val="left"/>
      <w:pPr>
        <w:ind w:left="3600" w:hanging="360"/>
      </w:pPr>
    </w:lvl>
    <w:lvl w:ilvl="5" w:tplc="67DA9C02" w:tentative="1">
      <w:start w:val="1"/>
      <w:numFmt w:val="lowerRoman"/>
      <w:lvlText w:val="%6."/>
      <w:lvlJc w:val="right"/>
      <w:pPr>
        <w:ind w:left="4320" w:hanging="180"/>
      </w:pPr>
    </w:lvl>
    <w:lvl w:ilvl="6" w:tplc="60E24CEE" w:tentative="1">
      <w:start w:val="1"/>
      <w:numFmt w:val="decimal"/>
      <w:lvlText w:val="%7."/>
      <w:lvlJc w:val="left"/>
      <w:pPr>
        <w:ind w:left="5040" w:hanging="360"/>
      </w:pPr>
    </w:lvl>
    <w:lvl w:ilvl="7" w:tplc="B928AC70" w:tentative="1">
      <w:start w:val="1"/>
      <w:numFmt w:val="lowerLetter"/>
      <w:lvlText w:val="%8."/>
      <w:lvlJc w:val="left"/>
      <w:pPr>
        <w:ind w:left="5760" w:hanging="360"/>
      </w:pPr>
    </w:lvl>
    <w:lvl w:ilvl="8" w:tplc="FA8A165E" w:tentative="1">
      <w:start w:val="1"/>
      <w:numFmt w:val="lowerRoman"/>
      <w:lvlText w:val="%9."/>
      <w:lvlJc w:val="right"/>
      <w:pPr>
        <w:ind w:left="6480" w:hanging="180"/>
      </w:pPr>
    </w:lvl>
  </w:abstractNum>
  <w:abstractNum w:abstractNumId="2" w15:restartNumberingAfterBreak="0">
    <w:nsid w:val="5EBB096C"/>
    <w:multiLevelType w:val="hybridMultilevel"/>
    <w:tmpl w:val="5E52D206"/>
    <w:lvl w:ilvl="0" w:tplc="E274230A">
      <w:start w:val="1"/>
      <w:numFmt w:val="bullet"/>
      <w:lvlText w:val=""/>
      <w:lvlJc w:val="left"/>
      <w:pPr>
        <w:ind w:left="765" w:hanging="360"/>
      </w:pPr>
      <w:rPr>
        <w:rFonts w:ascii="Symbol" w:hAnsi="Symbol" w:hint="default"/>
      </w:rPr>
    </w:lvl>
    <w:lvl w:ilvl="1" w:tplc="BEC87F5A" w:tentative="1">
      <w:start w:val="1"/>
      <w:numFmt w:val="bullet"/>
      <w:lvlText w:val="o"/>
      <w:lvlJc w:val="left"/>
      <w:pPr>
        <w:ind w:left="1485" w:hanging="360"/>
      </w:pPr>
      <w:rPr>
        <w:rFonts w:ascii="Courier New" w:hAnsi="Courier New" w:cs="Courier New" w:hint="default"/>
      </w:rPr>
    </w:lvl>
    <w:lvl w:ilvl="2" w:tplc="FE9A0464" w:tentative="1">
      <w:start w:val="1"/>
      <w:numFmt w:val="bullet"/>
      <w:lvlText w:val=""/>
      <w:lvlJc w:val="left"/>
      <w:pPr>
        <w:ind w:left="2205" w:hanging="360"/>
      </w:pPr>
      <w:rPr>
        <w:rFonts w:ascii="Wingdings" w:hAnsi="Wingdings" w:hint="default"/>
      </w:rPr>
    </w:lvl>
    <w:lvl w:ilvl="3" w:tplc="E954BB50" w:tentative="1">
      <w:start w:val="1"/>
      <w:numFmt w:val="bullet"/>
      <w:lvlText w:val=""/>
      <w:lvlJc w:val="left"/>
      <w:pPr>
        <w:ind w:left="2925" w:hanging="360"/>
      </w:pPr>
      <w:rPr>
        <w:rFonts w:ascii="Symbol" w:hAnsi="Symbol" w:hint="default"/>
      </w:rPr>
    </w:lvl>
    <w:lvl w:ilvl="4" w:tplc="5C3E4944" w:tentative="1">
      <w:start w:val="1"/>
      <w:numFmt w:val="bullet"/>
      <w:lvlText w:val="o"/>
      <w:lvlJc w:val="left"/>
      <w:pPr>
        <w:ind w:left="3645" w:hanging="360"/>
      </w:pPr>
      <w:rPr>
        <w:rFonts w:ascii="Courier New" w:hAnsi="Courier New" w:cs="Courier New" w:hint="default"/>
      </w:rPr>
    </w:lvl>
    <w:lvl w:ilvl="5" w:tplc="4A227E32" w:tentative="1">
      <w:start w:val="1"/>
      <w:numFmt w:val="bullet"/>
      <w:lvlText w:val=""/>
      <w:lvlJc w:val="left"/>
      <w:pPr>
        <w:ind w:left="4365" w:hanging="360"/>
      </w:pPr>
      <w:rPr>
        <w:rFonts w:ascii="Wingdings" w:hAnsi="Wingdings" w:hint="default"/>
      </w:rPr>
    </w:lvl>
    <w:lvl w:ilvl="6" w:tplc="AFB2CE7A" w:tentative="1">
      <w:start w:val="1"/>
      <w:numFmt w:val="bullet"/>
      <w:lvlText w:val=""/>
      <w:lvlJc w:val="left"/>
      <w:pPr>
        <w:ind w:left="5085" w:hanging="360"/>
      </w:pPr>
      <w:rPr>
        <w:rFonts w:ascii="Symbol" w:hAnsi="Symbol" w:hint="default"/>
      </w:rPr>
    </w:lvl>
    <w:lvl w:ilvl="7" w:tplc="DD5E19FE" w:tentative="1">
      <w:start w:val="1"/>
      <w:numFmt w:val="bullet"/>
      <w:lvlText w:val="o"/>
      <w:lvlJc w:val="left"/>
      <w:pPr>
        <w:ind w:left="5805" w:hanging="360"/>
      </w:pPr>
      <w:rPr>
        <w:rFonts w:ascii="Courier New" w:hAnsi="Courier New" w:cs="Courier New" w:hint="default"/>
      </w:rPr>
    </w:lvl>
    <w:lvl w:ilvl="8" w:tplc="8D9C0728" w:tentative="1">
      <w:start w:val="1"/>
      <w:numFmt w:val="bullet"/>
      <w:lvlText w:val=""/>
      <w:lvlJc w:val="left"/>
      <w:pPr>
        <w:ind w:left="6525" w:hanging="360"/>
      </w:pPr>
      <w:rPr>
        <w:rFonts w:ascii="Wingdings" w:hAnsi="Wingdings" w:hint="default"/>
      </w:rPr>
    </w:lvl>
  </w:abstractNum>
  <w:abstractNum w:abstractNumId="3" w15:restartNumberingAfterBreak="0">
    <w:nsid w:val="69B919DC"/>
    <w:multiLevelType w:val="hybridMultilevel"/>
    <w:tmpl w:val="86A6FC0C"/>
    <w:lvl w:ilvl="0" w:tplc="06D0CE0E">
      <w:start w:val="1"/>
      <w:numFmt w:val="bullet"/>
      <w:lvlText w:val=""/>
      <w:lvlJc w:val="left"/>
      <w:pPr>
        <w:ind w:left="720" w:hanging="360"/>
      </w:pPr>
      <w:rPr>
        <w:rFonts w:ascii="Symbol" w:hAnsi="Symbol" w:hint="default"/>
      </w:rPr>
    </w:lvl>
    <w:lvl w:ilvl="1" w:tplc="A4168FA6" w:tentative="1">
      <w:start w:val="1"/>
      <w:numFmt w:val="bullet"/>
      <w:lvlText w:val="o"/>
      <w:lvlJc w:val="left"/>
      <w:pPr>
        <w:ind w:left="1440" w:hanging="360"/>
      </w:pPr>
      <w:rPr>
        <w:rFonts w:ascii="Courier New" w:hAnsi="Courier New" w:cs="Courier New" w:hint="default"/>
      </w:rPr>
    </w:lvl>
    <w:lvl w:ilvl="2" w:tplc="6C18580C" w:tentative="1">
      <w:start w:val="1"/>
      <w:numFmt w:val="bullet"/>
      <w:lvlText w:val=""/>
      <w:lvlJc w:val="left"/>
      <w:pPr>
        <w:ind w:left="2160" w:hanging="360"/>
      </w:pPr>
      <w:rPr>
        <w:rFonts w:ascii="Wingdings" w:hAnsi="Wingdings" w:hint="default"/>
      </w:rPr>
    </w:lvl>
    <w:lvl w:ilvl="3" w:tplc="28B4C96E" w:tentative="1">
      <w:start w:val="1"/>
      <w:numFmt w:val="bullet"/>
      <w:lvlText w:val=""/>
      <w:lvlJc w:val="left"/>
      <w:pPr>
        <w:ind w:left="2880" w:hanging="360"/>
      </w:pPr>
      <w:rPr>
        <w:rFonts w:ascii="Symbol" w:hAnsi="Symbol" w:hint="default"/>
      </w:rPr>
    </w:lvl>
    <w:lvl w:ilvl="4" w:tplc="1A42A88C" w:tentative="1">
      <w:start w:val="1"/>
      <w:numFmt w:val="bullet"/>
      <w:lvlText w:val="o"/>
      <w:lvlJc w:val="left"/>
      <w:pPr>
        <w:ind w:left="3600" w:hanging="360"/>
      </w:pPr>
      <w:rPr>
        <w:rFonts w:ascii="Courier New" w:hAnsi="Courier New" w:cs="Courier New" w:hint="default"/>
      </w:rPr>
    </w:lvl>
    <w:lvl w:ilvl="5" w:tplc="866EAA56" w:tentative="1">
      <w:start w:val="1"/>
      <w:numFmt w:val="bullet"/>
      <w:lvlText w:val=""/>
      <w:lvlJc w:val="left"/>
      <w:pPr>
        <w:ind w:left="4320" w:hanging="360"/>
      </w:pPr>
      <w:rPr>
        <w:rFonts w:ascii="Wingdings" w:hAnsi="Wingdings" w:hint="default"/>
      </w:rPr>
    </w:lvl>
    <w:lvl w:ilvl="6" w:tplc="12C45548" w:tentative="1">
      <w:start w:val="1"/>
      <w:numFmt w:val="bullet"/>
      <w:lvlText w:val=""/>
      <w:lvlJc w:val="left"/>
      <w:pPr>
        <w:ind w:left="5040" w:hanging="360"/>
      </w:pPr>
      <w:rPr>
        <w:rFonts w:ascii="Symbol" w:hAnsi="Symbol" w:hint="default"/>
      </w:rPr>
    </w:lvl>
    <w:lvl w:ilvl="7" w:tplc="16064C16" w:tentative="1">
      <w:start w:val="1"/>
      <w:numFmt w:val="bullet"/>
      <w:lvlText w:val="o"/>
      <w:lvlJc w:val="left"/>
      <w:pPr>
        <w:ind w:left="5760" w:hanging="360"/>
      </w:pPr>
      <w:rPr>
        <w:rFonts w:ascii="Courier New" w:hAnsi="Courier New" w:cs="Courier New" w:hint="default"/>
      </w:rPr>
    </w:lvl>
    <w:lvl w:ilvl="8" w:tplc="3A7C0D68" w:tentative="1">
      <w:start w:val="1"/>
      <w:numFmt w:val="bullet"/>
      <w:lvlText w:val=""/>
      <w:lvlJc w:val="left"/>
      <w:pPr>
        <w:ind w:left="6480" w:hanging="360"/>
      </w:pPr>
      <w:rPr>
        <w:rFonts w:ascii="Wingdings" w:hAnsi="Wingdings" w:hint="default"/>
      </w:rPr>
    </w:lvl>
  </w:abstractNum>
  <w:abstractNum w:abstractNumId="4" w15:restartNumberingAfterBreak="0">
    <w:nsid w:val="7AAF4EB6"/>
    <w:multiLevelType w:val="multilevel"/>
    <w:tmpl w:val="A2CE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A45"/>
    <w:rsid w:val="00B67C7E"/>
    <w:rsid w:val="00D457ED"/>
    <w:rsid w:val="00D82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DDC269"/>
  <w15:docId w15:val="{7138D778-6E19-AD48-A84D-E9D5DA4F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FDC"/>
    <w:rPr>
      <w:color w:val="0563C1" w:themeColor="hyperlink"/>
      <w:u w:val="single"/>
    </w:rPr>
  </w:style>
  <w:style w:type="character" w:customStyle="1" w:styleId="UnresolvedMention1">
    <w:name w:val="Unresolved Mention1"/>
    <w:basedOn w:val="DefaultParagraphFont"/>
    <w:uiPriority w:val="99"/>
    <w:semiHidden/>
    <w:unhideWhenUsed/>
    <w:rsid w:val="00853FDC"/>
    <w:rPr>
      <w:color w:val="605E5C"/>
      <w:shd w:val="clear" w:color="auto" w:fill="E1DFDD"/>
    </w:rPr>
  </w:style>
  <w:style w:type="paragraph" w:styleId="ListParagraph">
    <w:name w:val="List Paragraph"/>
    <w:basedOn w:val="Normal"/>
    <w:uiPriority w:val="34"/>
    <w:qFormat/>
    <w:rsid w:val="000363DB"/>
    <w:pPr>
      <w:ind w:left="720"/>
      <w:contextualSpacing/>
    </w:pPr>
  </w:style>
  <w:style w:type="character" w:styleId="FollowedHyperlink">
    <w:name w:val="FollowedHyperlink"/>
    <w:basedOn w:val="DefaultParagraphFont"/>
    <w:uiPriority w:val="99"/>
    <w:semiHidden/>
    <w:unhideWhenUsed/>
    <w:rsid w:val="008123E6"/>
    <w:rPr>
      <w:color w:val="954F72" w:themeColor="followedHyperlink"/>
      <w:u w:val="single"/>
    </w:rPr>
  </w:style>
  <w:style w:type="paragraph" w:styleId="FootnoteText">
    <w:name w:val="footnote text"/>
    <w:basedOn w:val="Normal"/>
    <w:link w:val="FootnoteTextChar"/>
    <w:uiPriority w:val="99"/>
    <w:semiHidden/>
    <w:unhideWhenUsed/>
    <w:rsid w:val="00934B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4B9E"/>
    <w:rPr>
      <w:sz w:val="20"/>
      <w:szCs w:val="20"/>
    </w:rPr>
  </w:style>
  <w:style w:type="character" w:styleId="FootnoteReference">
    <w:name w:val="footnote reference"/>
    <w:basedOn w:val="DefaultParagraphFont"/>
    <w:uiPriority w:val="99"/>
    <w:semiHidden/>
    <w:unhideWhenUsed/>
    <w:rsid w:val="00934B9E"/>
    <w:rPr>
      <w:vertAlign w:val="superscript"/>
    </w:rPr>
  </w:style>
  <w:style w:type="paragraph" w:styleId="Header">
    <w:name w:val="header"/>
    <w:basedOn w:val="Normal"/>
    <w:link w:val="HeaderChar"/>
    <w:uiPriority w:val="99"/>
    <w:unhideWhenUsed/>
    <w:rsid w:val="00004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BE4"/>
  </w:style>
  <w:style w:type="paragraph" w:styleId="Footer">
    <w:name w:val="footer"/>
    <w:basedOn w:val="Normal"/>
    <w:link w:val="FooterChar"/>
    <w:uiPriority w:val="99"/>
    <w:unhideWhenUsed/>
    <w:rsid w:val="00004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BE4"/>
  </w:style>
  <w:style w:type="paragraph" w:customStyle="1" w:styleId="DocsID">
    <w:name w:val="DocsID"/>
    <w:basedOn w:val="Normal"/>
    <w:rsid w:val="00004BE4"/>
    <w:pPr>
      <w:spacing w:before="20" w:after="0" w:line="240" w:lineRule="auto"/>
    </w:pPr>
    <w:rPr>
      <w:rFonts w:ascii="Arial" w:eastAsia="Times New Roman" w:hAnsi="Arial" w:cs="Arial"/>
      <w:color w:val="000080"/>
      <w:sz w:val="16"/>
      <w:szCs w:val="20"/>
      <w:lang w:val="en-CA"/>
    </w:rPr>
  </w:style>
  <w:style w:type="character" w:customStyle="1" w:styleId="UnresolvedMention2">
    <w:name w:val="Unresolved Mention2"/>
    <w:basedOn w:val="DefaultParagraphFont"/>
    <w:uiPriority w:val="99"/>
    <w:semiHidden/>
    <w:unhideWhenUsed/>
    <w:rsid w:val="00C62C59"/>
    <w:rPr>
      <w:color w:val="605E5C"/>
      <w:shd w:val="clear" w:color="auto" w:fill="E1DFDD"/>
    </w:rPr>
  </w:style>
  <w:style w:type="paragraph" w:styleId="Revision">
    <w:name w:val="Revision"/>
    <w:hidden/>
    <w:uiPriority w:val="99"/>
    <w:semiHidden/>
    <w:rsid w:val="00573B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osiskogr.com/en/redevance/cariboo-gold-project-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D4202-2F3A-4941-8615-3065CC2A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2021-04-26T14:20:00Z</dcterms:created>
  <dcterms:modified xsi:type="dcterms:W3CDTF">2021-04-26T14:20:00Z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53920259.1</vt:lpwstr>
  </property>
</Properties>
</file>